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16A0938E" w:rsidR="00D7765D" w:rsidRPr="00046784" w:rsidRDefault="00705E1C" w:rsidP="00D7765D">
      <w:pPr>
        <w:pStyle w:val="Header"/>
        <w:tabs>
          <w:tab w:val="right" w:pos="9639"/>
        </w:tabs>
        <w:overflowPunct w:val="0"/>
        <w:autoSpaceDE w:val="0"/>
        <w:autoSpaceDN w:val="0"/>
        <w:adjustRightInd w:val="0"/>
        <w:textAlignment w:val="baseline"/>
        <w:rPr>
          <w:rFonts w:eastAsia="Times New Roman"/>
          <w:b w:val="0"/>
          <w:bCs/>
          <w:noProof w:val="0"/>
          <w:sz w:val="24"/>
          <w:szCs w:val="24"/>
          <w:lang w:val="en-US" w:eastAsia="ja-JP"/>
        </w:rPr>
      </w:pPr>
      <w:bookmarkStart w:id="0" w:name="_Ref452454252"/>
      <w:bookmarkEnd w:id="0"/>
      <w:r w:rsidRPr="00046784">
        <w:rPr>
          <w:rFonts w:eastAsia="Times New Roman"/>
          <w:bCs/>
          <w:noProof w:val="0"/>
          <w:sz w:val="24"/>
          <w:szCs w:val="24"/>
          <w:lang w:val="en-US" w:eastAsia="ja-JP"/>
        </w:rPr>
        <w:t>3</w:t>
      </w:r>
      <w:r w:rsidR="00087673" w:rsidRPr="00046784">
        <w:rPr>
          <w:rFonts w:eastAsia="Times New Roman"/>
          <w:bCs/>
          <w:noProof w:val="0"/>
          <w:sz w:val="24"/>
          <w:szCs w:val="24"/>
          <w:lang w:val="en-US" w:eastAsia="ja-JP"/>
        </w:rPr>
        <w:t>GPP TSG-RAN WG2 #1</w:t>
      </w:r>
      <w:r w:rsidR="000D318D">
        <w:rPr>
          <w:rFonts w:eastAsia="Times New Roman"/>
          <w:bCs/>
          <w:noProof w:val="0"/>
          <w:sz w:val="24"/>
          <w:szCs w:val="24"/>
          <w:lang w:val="en-US" w:eastAsia="ja-JP"/>
        </w:rPr>
        <w:t>3</w:t>
      </w:r>
      <w:r w:rsidR="004868B5">
        <w:rPr>
          <w:rFonts w:eastAsia="Times New Roman"/>
          <w:bCs/>
          <w:noProof w:val="0"/>
          <w:sz w:val="24"/>
          <w:szCs w:val="24"/>
          <w:lang w:val="en-US" w:eastAsia="ja-JP"/>
        </w:rPr>
        <w:t>3</w:t>
      </w:r>
      <w:r w:rsidR="00D7765D" w:rsidRPr="00046784">
        <w:rPr>
          <w:rFonts w:eastAsia="Times New Roman"/>
          <w:bCs/>
          <w:noProof w:val="0"/>
          <w:sz w:val="24"/>
          <w:szCs w:val="24"/>
          <w:lang w:val="en-US" w:eastAsia="ja-JP"/>
        </w:rPr>
        <w:t xml:space="preserve">                      </w:t>
      </w:r>
      <w:r w:rsidR="000615C4" w:rsidRPr="00046784">
        <w:rPr>
          <w:rFonts w:eastAsia="Times New Roman"/>
          <w:bCs/>
          <w:noProof w:val="0"/>
          <w:sz w:val="24"/>
          <w:szCs w:val="24"/>
          <w:lang w:val="en-US" w:eastAsia="ja-JP"/>
        </w:rPr>
        <w:t xml:space="preserve">                           </w:t>
      </w:r>
      <w:r w:rsidR="00A16E2E" w:rsidRPr="00046784">
        <w:rPr>
          <w:rFonts w:eastAsia="Times New Roman"/>
          <w:bCs/>
          <w:noProof w:val="0"/>
          <w:sz w:val="24"/>
          <w:szCs w:val="24"/>
          <w:lang w:val="en-US" w:eastAsia="ja-JP"/>
        </w:rPr>
        <w:t xml:space="preserve">                         </w:t>
      </w:r>
      <w:r w:rsidR="00670368" w:rsidRPr="00046784">
        <w:rPr>
          <w:rFonts w:eastAsia="Times New Roman"/>
          <w:bCs/>
          <w:noProof w:val="0"/>
          <w:sz w:val="24"/>
          <w:szCs w:val="24"/>
          <w:lang w:val="en-US" w:eastAsia="ja-JP"/>
        </w:rPr>
        <w:t xml:space="preserve">  </w:t>
      </w:r>
      <w:r w:rsidRPr="00046784">
        <w:rPr>
          <w:rFonts w:eastAsia="Times New Roman"/>
          <w:bCs/>
          <w:noProof w:val="0"/>
          <w:sz w:val="24"/>
          <w:szCs w:val="24"/>
          <w:lang w:val="en-US" w:eastAsia="ja-JP"/>
        </w:rPr>
        <w:t xml:space="preserve">  </w:t>
      </w:r>
      <w:r w:rsidR="00486CE0" w:rsidRPr="00046784">
        <w:rPr>
          <w:rFonts w:eastAsia="Times New Roman"/>
          <w:bCs/>
          <w:noProof w:val="0"/>
          <w:sz w:val="24"/>
          <w:szCs w:val="24"/>
          <w:lang w:val="en-US" w:eastAsia="ja-JP"/>
        </w:rPr>
        <w:t xml:space="preserve"> </w:t>
      </w:r>
      <w:r w:rsidR="00FA17DF" w:rsidRPr="00046784">
        <w:rPr>
          <w:rFonts w:eastAsia="Times New Roman"/>
          <w:bCs/>
          <w:noProof w:val="0"/>
          <w:sz w:val="24"/>
          <w:szCs w:val="24"/>
          <w:lang w:val="en-US" w:eastAsia="ja-JP"/>
        </w:rPr>
        <w:t xml:space="preserve"> </w:t>
      </w:r>
      <w:r w:rsidR="0066651E" w:rsidRPr="00046784">
        <w:rPr>
          <w:rFonts w:eastAsia="Times New Roman"/>
          <w:bCs/>
          <w:noProof w:val="0"/>
          <w:sz w:val="24"/>
          <w:szCs w:val="24"/>
          <w:lang w:val="en-US" w:eastAsia="ja-JP"/>
        </w:rPr>
        <w:t xml:space="preserve">  </w:t>
      </w:r>
      <w:r w:rsidR="0039789F" w:rsidRPr="00046784">
        <w:rPr>
          <w:rFonts w:eastAsia="Times New Roman"/>
          <w:bCs/>
          <w:noProof w:val="0"/>
          <w:sz w:val="24"/>
          <w:szCs w:val="24"/>
          <w:lang w:val="en-US" w:eastAsia="ja-JP"/>
        </w:rPr>
        <w:t xml:space="preserve">   </w:t>
      </w:r>
      <w:r w:rsidR="000D318D">
        <w:rPr>
          <w:rFonts w:eastAsia="Times New Roman"/>
          <w:bCs/>
          <w:noProof w:val="0"/>
          <w:sz w:val="24"/>
          <w:szCs w:val="24"/>
          <w:lang w:val="en-US" w:eastAsia="ja-JP"/>
        </w:rPr>
        <w:t xml:space="preserve">      </w:t>
      </w:r>
      <w:r w:rsidR="002E375A" w:rsidRPr="002E375A">
        <w:rPr>
          <w:rFonts w:eastAsia="Times New Roman"/>
          <w:bCs/>
          <w:noProof w:val="0"/>
          <w:sz w:val="24"/>
          <w:szCs w:val="24"/>
          <w:lang w:val="en-US" w:eastAsia="ja-JP"/>
        </w:rPr>
        <w:t>R2-2600645</w:t>
      </w:r>
    </w:p>
    <w:p w14:paraId="7A070E77" w14:textId="6D5FDD94" w:rsidR="007252B0" w:rsidRPr="00046784" w:rsidRDefault="004868B5" w:rsidP="007252B0">
      <w:pPr>
        <w:pStyle w:val="3GPPHeader"/>
        <w:spacing w:after="0"/>
        <w:rPr>
          <w:rFonts w:ascii="Arial" w:eastAsia="Times New Roman" w:hAnsi="Arial"/>
          <w:bCs/>
          <w:szCs w:val="24"/>
          <w:lang w:val="en-US" w:eastAsia="ja-JP"/>
        </w:rPr>
      </w:pPr>
      <w:bookmarkStart w:id="1" w:name="_Hlk114817196"/>
      <w:r>
        <w:rPr>
          <w:rFonts w:ascii="Arial" w:eastAsia="Times New Roman" w:hAnsi="Arial"/>
          <w:bCs/>
          <w:szCs w:val="24"/>
          <w:lang w:val="en-US" w:eastAsia="ja-JP"/>
        </w:rPr>
        <w:t>Gothenburg</w:t>
      </w:r>
      <w:r w:rsidR="006F77C5" w:rsidRPr="006F77C5">
        <w:rPr>
          <w:rFonts w:ascii="Arial" w:eastAsia="Times New Roman" w:hAnsi="Arial"/>
          <w:bCs/>
          <w:szCs w:val="24"/>
          <w:lang w:val="en-US" w:eastAsia="ja-JP"/>
        </w:rPr>
        <w:t xml:space="preserve">, </w:t>
      </w:r>
      <w:r>
        <w:rPr>
          <w:rFonts w:ascii="Arial" w:eastAsia="Times New Roman" w:hAnsi="Arial"/>
          <w:bCs/>
          <w:szCs w:val="24"/>
          <w:lang w:val="en-US" w:eastAsia="ja-JP"/>
        </w:rPr>
        <w:t>Sweden</w:t>
      </w:r>
      <w:r w:rsidR="006F77C5" w:rsidRPr="006F77C5">
        <w:rPr>
          <w:rFonts w:ascii="Arial" w:eastAsia="Times New Roman" w:hAnsi="Arial"/>
          <w:bCs/>
          <w:szCs w:val="24"/>
          <w:lang w:val="en-US" w:eastAsia="ja-JP"/>
        </w:rPr>
        <w:t xml:space="preserve">, </w:t>
      </w:r>
      <w:r>
        <w:rPr>
          <w:rFonts w:ascii="Arial" w:eastAsia="Times New Roman" w:hAnsi="Arial"/>
          <w:bCs/>
          <w:szCs w:val="24"/>
          <w:lang w:val="en-US" w:eastAsia="ja-JP"/>
        </w:rPr>
        <w:t>Feb</w:t>
      </w:r>
      <w:r w:rsidR="006F77C5" w:rsidRPr="006F77C5">
        <w:rPr>
          <w:rFonts w:ascii="Arial" w:eastAsia="Times New Roman" w:hAnsi="Arial"/>
          <w:bCs/>
          <w:szCs w:val="24"/>
          <w:lang w:val="en-US" w:eastAsia="ja-JP"/>
        </w:rPr>
        <w:t xml:space="preserve"> </w:t>
      </w:r>
      <w:r>
        <w:rPr>
          <w:rFonts w:ascii="Arial" w:eastAsia="Times New Roman" w:hAnsi="Arial"/>
          <w:bCs/>
          <w:szCs w:val="24"/>
          <w:lang w:val="en-US" w:eastAsia="ja-JP"/>
        </w:rPr>
        <w:t>9</w:t>
      </w:r>
      <w:r w:rsidRPr="004868B5">
        <w:rPr>
          <w:rFonts w:ascii="Arial" w:eastAsia="Times New Roman" w:hAnsi="Arial"/>
          <w:bCs/>
          <w:szCs w:val="24"/>
          <w:vertAlign w:val="superscript"/>
          <w:lang w:val="en-US" w:eastAsia="ja-JP"/>
        </w:rPr>
        <w:t>th</w:t>
      </w:r>
      <w:r>
        <w:rPr>
          <w:rFonts w:ascii="Arial" w:eastAsia="Times New Roman" w:hAnsi="Arial"/>
          <w:bCs/>
          <w:szCs w:val="24"/>
          <w:lang w:val="en-US" w:eastAsia="ja-JP"/>
        </w:rPr>
        <w:t xml:space="preserve"> </w:t>
      </w:r>
      <w:r w:rsidR="006F77C5" w:rsidRPr="006F77C5">
        <w:rPr>
          <w:rFonts w:ascii="Arial" w:eastAsia="Times New Roman" w:hAnsi="Arial"/>
          <w:bCs/>
          <w:szCs w:val="24"/>
          <w:lang w:val="en-US" w:eastAsia="ja-JP"/>
        </w:rPr>
        <w:t xml:space="preserve">– </w:t>
      </w:r>
      <w:r>
        <w:rPr>
          <w:rFonts w:ascii="Arial" w:eastAsia="Times New Roman" w:hAnsi="Arial"/>
          <w:bCs/>
          <w:szCs w:val="24"/>
          <w:lang w:val="en-US" w:eastAsia="ja-JP"/>
        </w:rPr>
        <w:t>13</w:t>
      </w:r>
      <w:r w:rsidRPr="004868B5">
        <w:rPr>
          <w:rFonts w:ascii="Arial" w:eastAsia="Times New Roman" w:hAnsi="Arial"/>
          <w:bCs/>
          <w:szCs w:val="24"/>
          <w:vertAlign w:val="superscript"/>
          <w:lang w:val="en-US" w:eastAsia="ja-JP"/>
        </w:rPr>
        <w:t>th</w:t>
      </w:r>
      <w:r w:rsidR="006F77C5" w:rsidRPr="006F77C5">
        <w:rPr>
          <w:rFonts w:ascii="Arial" w:eastAsia="Times New Roman" w:hAnsi="Arial"/>
          <w:bCs/>
          <w:szCs w:val="24"/>
          <w:lang w:val="en-US" w:eastAsia="ja-JP"/>
        </w:rPr>
        <w:t>, 202</w:t>
      </w:r>
      <w:r>
        <w:rPr>
          <w:rFonts w:ascii="Arial" w:eastAsia="Times New Roman" w:hAnsi="Arial"/>
          <w:bCs/>
          <w:szCs w:val="24"/>
          <w:lang w:val="en-US" w:eastAsia="ja-JP"/>
        </w:rPr>
        <w:t>6</w:t>
      </w:r>
      <w:r w:rsidR="006F77C5" w:rsidRPr="006F77C5">
        <w:rPr>
          <w:rFonts w:ascii="Arial" w:eastAsia="Times New Roman" w:hAnsi="Arial"/>
          <w:bCs/>
          <w:szCs w:val="24"/>
          <w:lang w:val="en-US" w:eastAsia="ja-JP"/>
        </w:rPr>
        <w:t xml:space="preserve">             </w:t>
      </w:r>
      <w:r w:rsidR="00FA5E92" w:rsidRPr="00046784">
        <w:rPr>
          <w:rFonts w:ascii="Arial" w:eastAsia="Times New Roman" w:hAnsi="Arial"/>
          <w:bCs/>
          <w:szCs w:val="24"/>
          <w:lang w:val="en-US" w:eastAsia="ja-JP"/>
        </w:rPr>
        <w:t xml:space="preserve">    </w:t>
      </w:r>
      <w:r w:rsidR="0039789F" w:rsidRPr="00046784">
        <w:rPr>
          <w:rFonts w:ascii="Arial" w:eastAsia="Times New Roman" w:hAnsi="Arial"/>
          <w:bCs/>
          <w:szCs w:val="24"/>
          <w:lang w:val="en-US" w:eastAsia="ja-JP"/>
        </w:rPr>
        <w:t xml:space="preserve">        </w:t>
      </w:r>
      <w:r w:rsidR="007252B0" w:rsidRPr="00046784">
        <w:rPr>
          <w:rFonts w:ascii="Arial" w:eastAsia="Times New Roman" w:hAnsi="Arial"/>
          <w:bCs/>
          <w:szCs w:val="24"/>
          <w:lang w:val="en-US" w:eastAsia="ja-JP"/>
        </w:rPr>
        <w:t xml:space="preserve">        </w:t>
      </w:r>
      <w:r>
        <w:rPr>
          <w:rFonts w:ascii="Arial" w:eastAsia="Times New Roman" w:hAnsi="Arial"/>
          <w:bCs/>
          <w:szCs w:val="24"/>
          <w:lang w:val="en-US" w:eastAsia="ja-JP"/>
        </w:rPr>
        <w:t xml:space="preserve">             Revision of</w:t>
      </w:r>
      <w:r w:rsidR="007252B0" w:rsidRPr="00046784">
        <w:rPr>
          <w:rFonts w:ascii="Arial" w:eastAsia="Times New Roman" w:hAnsi="Arial"/>
          <w:bCs/>
          <w:szCs w:val="24"/>
          <w:lang w:val="en-US" w:eastAsia="ja-JP"/>
        </w:rPr>
        <w:t xml:space="preserve"> </w:t>
      </w:r>
      <w:r w:rsidRPr="004868B5">
        <w:rPr>
          <w:rFonts w:ascii="Arial" w:eastAsia="Times New Roman" w:hAnsi="Arial"/>
          <w:bCs/>
          <w:szCs w:val="24"/>
          <w:lang w:val="en-US" w:eastAsia="ja-JP"/>
        </w:rPr>
        <w:t>R2-2508985</w:t>
      </w:r>
    </w:p>
    <w:bookmarkEnd w:id="1"/>
    <w:p w14:paraId="632AC43C" w14:textId="77777777" w:rsidR="00FA2EE3" w:rsidRPr="00046784" w:rsidRDefault="00FA2EE3" w:rsidP="00D7765D">
      <w:pPr>
        <w:pStyle w:val="3GPPHeader"/>
        <w:spacing w:after="0"/>
        <w:rPr>
          <w:rFonts w:ascii="Arial" w:hAnsi="Arial" w:cs="Arial"/>
          <w:szCs w:val="24"/>
          <w:lang w:val="en-US"/>
        </w:rPr>
      </w:pPr>
    </w:p>
    <w:p w14:paraId="782CEDA7" w14:textId="1773DD2C" w:rsidR="00D7765D" w:rsidRPr="00046784" w:rsidRDefault="00D7765D" w:rsidP="00D7765D">
      <w:pPr>
        <w:pStyle w:val="3GPPHeader"/>
        <w:spacing w:after="120"/>
        <w:rPr>
          <w:rFonts w:ascii="Arial" w:hAnsi="Arial" w:cs="Arial"/>
          <w:szCs w:val="24"/>
          <w:lang w:val="en-US" w:eastAsia="zh-TW"/>
        </w:rPr>
      </w:pPr>
      <w:r w:rsidRPr="00046784">
        <w:rPr>
          <w:rFonts w:ascii="Arial" w:hAnsi="Arial" w:cs="Arial"/>
          <w:szCs w:val="24"/>
          <w:lang w:val="en-US"/>
        </w:rPr>
        <w:t>Agenda Item:</w:t>
      </w:r>
      <w:r w:rsidRPr="00046784">
        <w:rPr>
          <w:rFonts w:ascii="Arial" w:hAnsi="Arial" w:cs="Arial"/>
          <w:szCs w:val="24"/>
          <w:lang w:val="en-US"/>
        </w:rPr>
        <w:tab/>
      </w:r>
      <w:r w:rsidR="00EA70EA" w:rsidRPr="00046784">
        <w:rPr>
          <w:rFonts w:ascii="Arial" w:hAnsi="Arial" w:cs="Arial"/>
          <w:szCs w:val="24"/>
          <w:lang w:val="en-US"/>
        </w:rPr>
        <w:t xml:space="preserve">    </w:t>
      </w:r>
      <w:r w:rsidR="001003F5" w:rsidRPr="001003F5">
        <w:rPr>
          <w:rFonts w:ascii="Arial" w:hAnsi="Arial" w:cs="Arial"/>
          <w:szCs w:val="24"/>
          <w:lang w:val="en-US"/>
        </w:rPr>
        <w:t>10.4</w:t>
      </w:r>
    </w:p>
    <w:p w14:paraId="6EA60711" w14:textId="2ADD35DB" w:rsidR="00D7765D"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 xml:space="preserve">Source: </w:t>
      </w:r>
      <w:r w:rsidRPr="00046784">
        <w:rPr>
          <w:rFonts w:ascii="Arial" w:hAnsi="Arial" w:cs="Arial"/>
          <w:szCs w:val="24"/>
          <w:lang w:val="en-US"/>
        </w:rPr>
        <w:tab/>
        <w:t xml:space="preserve">    MediaTek Inc.</w:t>
      </w:r>
    </w:p>
    <w:p w14:paraId="726A18E0" w14:textId="0FAFCA28" w:rsidR="00D7765D" w:rsidRPr="00046784" w:rsidRDefault="006F1967" w:rsidP="006F1967">
      <w:pPr>
        <w:pStyle w:val="3GPPHeader"/>
        <w:spacing w:after="120"/>
        <w:rPr>
          <w:rFonts w:ascii="Arial" w:hAnsi="Arial" w:cs="Arial"/>
          <w:szCs w:val="24"/>
          <w:lang w:val="en-US"/>
        </w:rPr>
      </w:pPr>
      <w:r w:rsidRPr="00046784">
        <w:rPr>
          <w:rFonts w:ascii="Arial" w:hAnsi="Arial" w:cs="Arial"/>
          <w:szCs w:val="24"/>
          <w:lang w:val="en-US"/>
        </w:rPr>
        <w:t xml:space="preserve">Title: </w:t>
      </w:r>
      <w:r w:rsidRPr="00046784">
        <w:rPr>
          <w:rFonts w:ascii="Arial" w:hAnsi="Arial" w:cs="Arial"/>
          <w:szCs w:val="24"/>
          <w:lang w:val="en-US"/>
        </w:rPr>
        <w:tab/>
        <w:t xml:space="preserve">    Mobility for 6GR</w:t>
      </w:r>
      <w:bookmarkStart w:id="2" w:name="OLE_LINK7"/>
    </w:p>
    <w:bookmarkEnd w:id="2"/>
    <w:p w14:paraId="265A99BC" w14:textId="74F2A0E3" w:rsidR="00785D5A"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Document for:</w:t>
      </w:r>
      <w:r w:rsidRPr="00046784">
        <w:rPr>
          <w:rFonts w:ascii="Arial" w:hAnsi="Arial" w:cs="Arial"/>
          <w:szCs w:val="24"/>
          <w:lang w:val="en-US"/>
        </w:rPr>
        <w:tab/>
        <w:t xml:space="preserve">    Discussion and decision</w:t>
      </w:r>
    </w:p>
    <w:p w14:paraId="6C1AF274" w14:textId="77777777" w:rsidR="00CA2EA4" w:rsidRPr="00046784" w:rsidRDefault="003C1CA3" w:rsidP="002000A7">
      <w:pPr>
        <w:pStyle w:val="Heading1"/>
        <w:rPr>
          <w:lang w:val="en-US" w:eastAsia="ko-KR"/>
        </w:rPr>
      </w:pPr>
      <w:r w:rsidRPr="00046784">
        <w:rPr>
          <w:lang w:val="en-US" w:eastAsia="ko-KR"/>
        </w:rPr>
        <w:t xml:space="preserve">1 </w:t>
      </w:r>
      <w:r w:rsidR="00156A1A" w:rsidRPr="00046784">
        <w:rPr>
          <w:lang w:val="en-US" w:eastAsia="ko-KR"/>
        </w:rPr>
        <w:t>Introduction</w:t>
      </w:r>
    </w:p>
    <w:p w14:paraId="23FDA0BA" w14:textId="77777777" w:rsidR="00FC2581" w:rsidRDefault="007B1CB5" w:rsidP="005E7565">
      <w:pPr>
        <w:spacing w:after="0"/>
        <w:jc w:val="both"/>
        <w:rPr>
          <w:rFonts w:ascii="Arial" w:hAnsi="Arial" w:cs="Arial"/>
          <w:lang w:val="en-US"/>
        </w:rPr>
      </w:pPr>
      <w:r w:rsidRPr="00046784">
        <w:rPr>
          <w:rFonts w:ascii="Arial" w:hAnsi="Arial" w:cs="Arial"/>
          <w:lang w:val="en-US"/>
        </w:rPr>
        <w:t xml:space="preserve">Study on 6G radio was approved in </w:t>
      </w:r>
      <w:r w:rsidR="006233F5" w:rsidRPr="00046784">
        <w:rPr>
          <w:rFonts w:ascii="Arial" w:hAnsi="Arial" w:cs="Arial"/>
          <w:lang w:val="en-US"/>
        </w:rPr>
        <w:t xml:space="preserve">RP-251881[1] in </w:t>
      </w:r>
      <w:r w:rsidRPr="00046784">
        <w:rPr>
          <w:rFonts w:ascii="Arial" w:hAnsi="Arial" w:cs="Arial"/>
          <w:lang w:val="en-US"/>
        </w:rPr>
        <w:t xml:space="preserve">RAN#108. One of the study objectives is </w:t>
      </w:r>
      <w:r w:rsidR="00CC5728" w:rsidRPr="00046784">
        <w:rPr>
          <w:rFonts w:ascii="Arial" w:hAnsi="Arial" w:cs="Arial"/>
          <w:lang w:val="en-US"/>
        </w:rPr>
        <w:t>Mobility for 6GR (for all RRC states), including related RRM (objective#4).</w:t>
      </w:r>
    </w:p>
    <w:p w14:paraId="5E6DE2E9" w14:textId="77777777" w:rsidR="005E7565" w:rsidRDefault="005E7565" w:rsidP="005E7565">
      <w:pPr>
        <w:spacing w:after="0"/>
        <w:jc w:val="both"/>
        <w:rPr>
          <w:rFonts w:ascii="Arial" w:hAnsi="Arial" w:cs="Arial"/>
          <w:lang w:val="en-US"/>
        </w:rPr>
      </w:pPr>
    </w:p>
    <w:p w14:paraId="125FFC5C" w14:textId="496F7F60" w:rsidR="000D318D" w:rsidRDefault="0020195F" w:rsidP="005E7565">
      <w:pPr>
        <w:spacing w:after="0"/>
        <w:jc w:val="both"/>
        <w:rPr>
          <w:rFonts w:ascii="Arial" w:hAnsi="Arial" w:cs="Arial"/>
          <w:lang w:val="en-US"/>
        </w:rPr>
      </w:pPr>
      <w:r>
        <w:rPr>
          <w:rFonts w:ascii="Arial" w:hAnsi="Arial" w:cs="Arial"/>
          <w:lang w:val="en-US"/>
        </w:rPr>
        <w:t xml:space="preserve">RAN2 has </w:t>
      </w:r>
      <w:r w:rsidR="00BD7769">
        <w:rPr>
          <w:rFonts w:ascii="Arial" w:hAnsi="Arial" w:cs="Arial"/>
          <w:lang w:val="en-US"/>
        </w:rPr>
        <w:t>reached</w:t>
      </w:r>
      <w:r>
        <w:rPr>
          <w:rFonts w:ascii="Arial" w:hAnsi="Arial" w:cs="Arial"/>
          <w:lang w:val="en-US"/>
        </w:rPr>
        <w:t xml:space="preserve"> </w:t>
      </w:r>
      <w:r w:rsidR="00BD7769">
        <w:rPr>
          <w:rFonts w:ascii="Arial" w:hAnsi="Arial" w:cs="Arial"/>
          <w:lang w:val="en-US"/>
        </w:rPr>
        <w:t xml:space="preserve">the </w:t>
      </w:r>
      <w:r>
        <w:rPr>
          <w:rFonts w:ascii="Arial" w:hAnsi="Arial" w:cs="Arial"/>
          <w:lang w:val="en-US"/>
        </w:rPr>
        <w:t xml:space="preserve">following agreements related to </w:t>
      </w:r>
      <w:r w:rsidR="00847589">
        <w:rPr>
          <w:rFonts w:ascii="Arial" w:hAnsi="Arial" w:cs="Arial"/>
          <w:lang w:val="en-US"/>
        </w:rPr>
        <w:t xml:space="preserve">6G </w:t>
      </w:r>
      <w:r>
        <w:rPr>
          <w:rFonts w:ascii="Arial" w:hAnsi="Arial" w:cs="Arial"/>
          <w:lang w:val="en-US"/>
        </w:rPr>
        <w:t>mobility</w:t>
      </w:r>
      <w:r w:rsidR="00BD7769">
        <w:rPr>
          <w:rFonts w:ascii="Arial" w:hAnsi="Arial" w:cs="Arial"/>
          <w:lang w:val="en-US"/>
        </w:rPr>
        <w:t>.</w:t>
      </w:r>
    </w:p>
    <w:p w14:paraId="43070430" w14:textId="77777777" w:rsidR="00BD7769" w:rsidRDefault="00BD7769" w:rsidP="005E7565">
      <w:pPr>
        <w:spacing w:after="0"/>
        <w:jc w:val="both"/>
        <w:rPr>
          <w:rFonts w:ascii="Arial" w:hAnsi="Arial" w:cs="Arial"/>
          <w:lang w:val="en-US"/>
        </w:rPr>
      </w:pPr>
    </w:p>
    <w:p w14:paraId="68D71FB7" w14:textId="557656CC" w:rsidR="00AA09FE" w:rsidRDefault="00BD7769" w:rsidP="005E7565">
      <w:pPr>
        <w:spacing w:after="0"/>
        <w:jc w:val="both"/>
        <w:rPr>
          <w:rFonts w:ascii="Arial" w:hAnsi="Arial" w:cs="Arial"/>
          <w:lang w:val="en-US"/>
        </w:rPr>
      </w:pPr>
      <w:r w:rsidRPr="00BD7769">
        <w:rPr>
          <w:rFonts w:ascii="Arial" w:hAnsi="Arial" w:cs="Arial"/>
          <w:lang w:val="en-US"/>
        </w:rPr>
        <w:t>In RAN2#131bis</w:t>
      </w:r>
      <w:r>
        <w:rPr>
          <w:rFonts w:ascii="Arial" w:hAnsi="Arial" w:cs="Arial"/>
          <w:lang w:val="en-US"/>
        </w:rPr>
        <w:t>:</w:t>
      </w:r>
    </w:p>
    <w:p w14:paraId="652D30E7" w14:textId="77777777" w:rsidR="0020195F" w:rsidRDefault="0020195F" w:rsidP="0020195F">
      <w:pPr>
        <w:pStyle w:val="Doc-text2"/>
        <w:pBdr>
          <w:top w:val="single" w:sz="4" w:space="1" w:color="auto"/>
          <w:left w:val="single" w:sz="4" w:space="4" w:color="auto"/>
          <w:bottom w:val="single" w:sz="4" w:space="1" w:color="auto"/>
          <w:right w:val="single" w:sz="4" w:space="4" w:color="auto"/>
        </w:pBdr>
        <w:rPr>
          <w:b/>
          <w:bCs/>
          <w:lang w:val="en-GB" w:eastAsia="en-GB"/>
        </w:rPr>
      </w:pPr>
      <w:r>
        <w:rPr>
          <w:b/>
          <w:bCs/>
        </w:rPr>
        <w:t xml:space="preserve">Agreements </w:t>
      </w:r>
    </w:p>
    <w:p w14:paraId="11B9FF23"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1</w:t>
      </w:r>
      <w:r>
        <w:tab/>
        <w:t>Study mobility with the following requirements in 6G mobility design:</w:t>
      </w:r>
    </w:p>
    <w:p w14:paraId="277DA6CD"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t xml:space="preserve">Minimize interruption time and ensure service continuity (i.e. minimize throughput degradation during mobility). Consider complexity and gains when discussing solutions.   </w:t>
      </w:r>
    </w:p>
    <w:p w14:paraId="1A74CC15"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t xml:space="preserve">Robustness of mobility procedures </w:t>
      </w:r>
    </w:p>
    <w:p w14:paraId="0DC611A8"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t>Energy efficiency for both UE and NW</w:t>
      </w:r>
    </w:p>
    <w:p w14:paraId="02A00D36"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2</w:t>
      </w:r>
      <w:r>
        <w:tab/>
      </w:r>
      <w:r w:rsidRPr="00AB539A">
        <w:t>Study aspects related to mobility (e.g. early DL/UL synchronization, UE configuration processing, pre-configurations, conditional handover, early CSI acquisition)</w:t>
      </w:r>
    </w:p>
    <w:p w14:paraId="5127866A" w14:textId="77777777" w:rsidR="0020195F" w:rsidRDefault="0020195F" w:rsidP="0020195F">
      <w:pPr>
        <w:pStyle w:val="Doc-text2"/>
        <w:ind w:left="0" w:firstLine="0"/>
      </w:pPr>
    </w:p>
    <w:p w14:paraId="24B0B125" w14:textId="2C0A08A8" w:rsidR="00BD7769" w:rsidRPr="00BD7769" w:rsidRDefault="00BD7769" w:rsidP="00BD7769">
      <w:pPr>
        <w:pStyle w:val="Doc-text2"/>
        <w:ind w:left="0" w:firstLine="0"/>
      </w:pPr>
      <w:r>
        <w:t>I</w:t>
      </w:r>
      <w:r w:rsidR="00097CD5">
        <w:t>n RAN2#132</w:t>
      </w:r>
      <w:r>
        <w:t>:</w:t>
      </w:r>
    </w:p>
    <w:p w14:paraId="2988982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BD7769">
        <w:rPr>
          <w:rFonts w:ascii="Arial" w:eastAsia="Times New Roman" w:hAnsi="Arial"/>
          <w:b/>
          <w:bCs/>
          <w:lang w:eastAsia="ja-JP"/>
        </w:rPr>
        <w:t>Agreements on mobility</w:t>
      </w:r>
    </w:p>
    <w:p w14:paraId="784112F6"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1.</w:t>
      </w:r>
      <w:r w:rsidRPr="00BD7769">
        <w:rPr>
          <w:rFonts w:ascii="Arial" w:eastAsia="Times New Roman" w:hAnsi="Arial"/>
          <w:lang w:eastAsia="ja-JP"/>
        </w:rPr>
        <w:tab/>
        <w:t>Study at least the following mobility schemes</w:t>
      </w:r>
    </w:p>
    <w:p w14:paraId="73815390"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720"/>
        </w:tabs>
        <w:overflowPunct w:val="0"/>
        <w:autoSpaceDE w:val="0"/>
        <w:autoSpaceDN w:val="0"/>
        <w:adjustRightInd w:val="0"/>
        <w:spacing w:before="60" w:after="0"/>
        <w:rPr>
          <w:rFonts w:ascii="Arial" w:eastAsia="Times New Roman" w:hAnsi="Arial"/>
          <w:bCs/>
          <w:lang w:eastAsia="ja-JP"/>
        </w:rPr>
      </w:pPr>
      <w:r w:rsidRPr="00BD7769">
        <w:rPr>
          <w:rFonts w:ascii="Arial" w:eastAsia="Times New Roman" w:hAnsi="Arial"/>
          <w:bCs/>
          <w:lang w:eastAsia="ja-JP"/>
        </w:rPr>
        <w:t xml:space="preserve">NW configures and triggers the mobility without pre-configuration, and UE performs it immediately </w:t>
      </w:r>
    </w:p>
    <w:p w14:paraId="436FA03E"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rPr>
          <w:rFonts w:ascii="Arial" w:eastAsia="Times New Roman" w:hAnsi="Arial"/>
          <w:lang w:eastAsia="ja-JP"/>
        </w:rPr>
      </w:pPr>
      <w:r w:rsidRPr="00BD7769">
        <w:rPr>
          <w:rFonts w:ascii="Arial" w:eastAsia="Times New Roman" w:hAnsi="Arial"/>
          <w:lang w:eastAsia="ja-JP"/>
        </w:rPr>
        <w:t>Pre-configured solutions and early UE configuration processing</w:t>
      </w:r>
    </w:p>
    <w:p w14:paraId="2C6337C7"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rPr>
          <w:rFonts w:ascii="Arial" w:eastAsia="Times New Roman" w:hAnsi="Arial"/>
          <w:lang w:eastAsia="ja-JP"/>
        </w:rPr>
      </w:pPr>
      <w:r w:rsidRPr="00BD7769">
        <w:rPr>
          <w:rFonts w:ascii="Arial" w:eastAsia="Times New Roman" w:hAnsi="Arial"/>
          <w:lang w:eastAsia="ja-JP"/>
        </w:rPr>
        <w:t xml:space="preserve">UE triggered mobility based on some pre-configuration  </w:t>
      </w:r>
    </w:p>
    <w:p w14:paraId="755F8B2E"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rPr>
          <w:rFonts w:ascii="Arial" w:eastAsia="Times New Roman" w:hAnsi="Arial"/>
          <w:lang w:eastAsia="ja-JP"/>
        </w:rPr>
      </w:pPr>
      <w:r w:rsidRPr="00BD7769">
        <w:rPr>
          <w:rFonts w:ascii="Arial" w:eastAsia="Times New Roman" w:hAnsi="Arial"/>
          <w:lang w:eastAsia="ja-JP"/>
        </w:rPr>
        <w:t xml:space="preserve">CFRA, RACH-less, early UL/DL sync, early CSI.  </w:t>
      </w:r>
    </w:p>
    <w:p w14:paraId="6D6B654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rPr>
          <w:rFonts w:ascii="Arial" w:eastAsia="Times New Roman" w:hAnsi="Arial"/>
          <w:lang w:eastAsia="ja-JP"/>
        </w:rPr>
      </w:pPr>
      <w:r w:rsidRPr="00BD7769">
        <w:rPr>
          <w:rFonts w:ascii="Arial" w:eastAsia="Times New Roman" w:hAnsi="Arial"/>
          <w:lang w:eastAsia="ja-JP"/>
        </w:rPr>
        <w:t xml:space="preserve">Schemes should consider the lower interruption, robustness requirements and throughput degradation while considering UE and NW complexity and resource efficiency.   </w:t>
      </w:r>
    </w:p>
    <w:p w14:paraId="4C18976D"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rPr>
          <w:rFonts w:ascii="Arial" w:eastAsia="Times New Roman" w:hAnsi="Arial"/>
          <w:lang w:eastAsia="ja-JP"/>
        </w:rPr>
      </w:pPr>
      <w:r w:rsidRPr="00BD7769">
        <w:rPr>
          <w:rFonts w:ascii="Arial" w:eastAsia="Times New Roman" w:hAnsi="Arial"/>
          <w:lang w:eastAsia="ja-JP"/>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6761393"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2.</w:t>
      </w:r>
      <w:r w:rsidRPr="00BD7769">
        <w:rPr>
          <w:rFonts w:ascii="Arial" w:eastAsia="Times New Roman" w:hAnsi="Arial"/>
          <w:lang w:eastAsia="ja-JP"/>
        </w:rPr>
        <w:tab/>
        <w:t xml:space="preserve">DAPS as in NR is not considered in this study item </w:t>
      </w:r>
    </w:p>
    <w:p w14:paraId="2CF55F26" w14:textId="77777777" w:rsidR="00BD7769" w:rsidRPr="00BD7769" w:rsidRDefault="00BD7769" w:rsidP="00BD7769">
      <w:pPr>
        <w:tabs>
          <w:tab w:val="left" w:pos="1622"/>
        </w:tabs>
        <w:overflowPunct w:val="0"/>
        <w:autoSpaceDE w:val="0"/>
        <w:autoSpaceDN w:val="0"/>
        <w:adjustRightInd w:val="0"/>
        <w:spacing w:after="0"/>
        <w:rPr>
          <w:rFonts w:ascii="Arial" w:eastAsia="Times New Roman" w:hAnsi="Arial"/>
          <w:b/>
          <w:bCs/>
          <w:lang w:val="en-US" w:eastAsia="ja-JP"/>
        </w:rPr>
      </w:pPr>
    </w:p>
    <w:p w14:paraId="5C4FFE0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720"/>
        </w:tabs>
        <w:overflowPunct w:val="0"/>
        <w:autoSpaceDE w:val="0"/>
        <w:autoSpaceDN w:val="0"/>
        <w:adjustRightInd w:val="0"/>
        <w:spacing w:before="60" w:after="0"/>
        <w:ind w:left="1619" w:hanging="360"/>
        <w:rPr>
          <w:rFonts w:ascii="Arial" w:eastAsia="Times New Roman" w:hAnsi="Arial"/>
          <w:b/>
          <w:lang w:val="en-US" w:eastAsia="ja-JP"/>
        </w:rPr>
      </w:pPr>
      <w:r w:rsidRPr="00BD7769">
        <w:rPr>
          <w:rFonts w:ascii="Arial" w:eastAsia="Times New Roman" w:hAnsi="Arial"/>
          <w:b/>
          <w:lang w:val="en-US" w:eastAsia="ja-JP"/>
        </w:rPr>
        <w:t>Agreements</w:t>
      </w:r>
    </w:p>
    <w:p w14:paraId="03D07E54" w14:textId="77777777" w:rsidR="00BD7769" w:rsidRPr="00BD7769" w:rsidRDefault="00BD7769">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rPr>
          <w:rFonts w:ascii="Arial" w:eastAsia="Times New Roman" w:hAnsi="Arial"/>
          <w:bCs/>
          <w:lang w:val="en-US" w:eastAsia="ja-JP"/>
        </w:rPr>
      </w:pPr>
      <w:r w:rsidRPr="00BD7769">
        <w:rPr>
          <w:rFonts w:ascii="Arial" w:eastAsia="Times New Roman" w:hAnsi="Arial"/>
          <w:bCs/>
          <w:lang w:val="en-US" w:eastAsia="ja-JP"/>
        </w:rPr>
        <w:t>NR cell (re) selection framework (</w:t>
      </w:r>
      <w:proofErr w:type="spellStart"/>
      <w:r w:rsidRPr="00BD7769">
        <w:rPr>
          <w:rFonts w:ascii="Arial" w:eastAsia="Times New Roman" w:hAnsi="Arial"/>
          <w:bCs/>
          <w:lang w:val="en-US" w:eastAsia="ja-JP"/>
        </w:rPr>
        <w:t>e.g</w:t>
      </w:r>
      <w:proofErr w:type="spellEnd"/>
      <w:r w:rsidRPr="00BD7769">
        <w:rPr>
          <w:rFonts w:ascii="Arial" w:eastAsia="Times New Roman" w:hAnsi="Arial"/>
          <w:bCs/>
          <w:lang w:val="en-US" w:eastAsia="ja-JP"/>
        </w:rPr>
        <w:t xml:space="preserve"> best cell principle, cell ranking, inter-freq/RAT prioritization, </w:t>
      </w:r>
      <w:proofErr w:type="spellStart"/>
      <w:proofErr w:type="gramStart"/>
      <w:r w:rsidRPr="00BD7769">
        <w:rPr>
          <w:rFonts w:ascii="Arial" w:eastAsia="Times New Roman" w:hAnsi="Arial"/>
          <w:bCs/>
          <w:lang w:val="en-US" w:eastAsia="ja-JP"/>
        </w:rPr>
        <w:t>etc</w:t>
      </w:r>
      <w:proofErr w:type="spellEnd"/>
      <w:r w:rsidRPr="00BD7769">
        <w:rPr>
          <w:rFonts w:ascii="Arial" w:eastAsia="Times New Roman" w:hAnsi="Arial"/>
          <w:bCs/>
          <w:lang w:val="en-US" w:eastAsia="ja-JP"/>
        </w:rPr>
        <w:t>)  is</w:t>
      </w:r>
      <w:proofErr w:type="gramEnd"/>
      <w:r w:rsidRPr="00BD7769">
        <w:rPr>
          <w:rFonts w:ascii="Arial" w:eastAsia="Times New Roman" w:hAnsi="Arial"/>
          <w:bCs/>
          <w:lang w:val="en-US" w:eastAsia="ja-JP"/>
        </w:rPr>
        <w:t xml:space="preserve"> the baseline of 6G cell reselection framework.</w:t>
      </w:r>
    </w:p>
    <w:p w14:paraId="708B09B2" w14:textId="77777777" w:rsidR="00BD7769" w:rsidRPr="00BD7769" w:rsidRDefault="00BD7769">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rPr>
          <w:rFonts w:ascii="Arial" w:eastAsia="Times New Roman" w:hAnsi="Arial"/>
          <w:bCs/>
          <w:lang w:val="en-US" w:eastAsia="ja-JP"/>
        </w:rPr>
      </w:pPr>
      <w:r w:rsidRPr="00BD7769">
        <w:rPr>
          <w:rFonts w:ascii="Arial" w:eastAsia="Times New Roman" w:hAnsi="Arial"/>
          <w:bCs/>
          <w:lang w:val="en-US" w:eastAsia="ja-JP"/>
        </w:rPr>
        <w:t xml:space="preserve">Understand the issues we want to address in 6G. Study further how other 6G related aspects with energy saving, spectrum aggregation, service awareness, features, deployment type (e.g. TN, NTN), slicing, speed dependent </w:t>
      </w:r>
      <w:proofErr w:type="spellStart"/>
      <w:r w:rsidRPr="00BD7769">
        <w:rPr>
          <w:rFonts w:ascii="Arial" w:eastAsia="Times New Roman" w:hAnsi="Arial"/>
          <w:bCs/>
          <w:lang w:val="en-US" w:eastAsia="ja-JP"/>
        </w:rPr>
        <w:t>etc</w:t>
      </w:r>
      <w:proofErr w:type="spellEnd"/>
      <w:r w:rsidRPr="00BD7769">
        <w:rPr>
          <w:rFonts w:ascii="Arial" w:eastAsia="Times New Roman" w:hAnsi="Arial"/>
          <w:bCs/>
          <w:lang w:val="en-US" w:eastAsia="ja-JP"/>
        </w:rPr>
        <w:t xml:space="preserve"> impact cell selection/reselection, etc.</w:t>
      </w:r>
    </w:p>
    <w:p w14:paraId="20FFDFD0" w14:textId="77777777" w:rsidR="00BD7769" w:rsidRPr="00BD7769" w:rsidRDefault="00BD7769">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rPr>
          <w:rFonts w:ascii="Arial" w:eastAsia="Times New Roman" w:hAnsi="Arial"/>
          <w:bCs/>
          <w:lang w:val="en-US" w:eastAsia="ja-JP"/>
        </w:rPr>
      </w:pPr>
      <w:r w:rsidRPr="00BD7769">
        <w:rPr>
          <w:rFonts w:ascii="Arial" w:eastAsia="Times New Roman" w:hAnsi="Arial"/>
          <w:bCs/>
          <w:lang w:val="en-US" w:eastAsia="ja-JP"/>
        </w:rPr>
        <w:t>These discussions will resume once we have some progress/understanding from other WGs on cells, reference signals, measurement framework/requirements etc.</w:t>
      </w:r>
    </w:p>
    <w:p w14:paraId="5C676FA8" w14:textId="77777777" w:rsidR="00BD7769" w:rsidRPr="00BD7769" w:rsidRDefault="00BD7769" w:rsidP="00BD7769">
      <w:pPr>
        <w:tabs>
          <w:tab w:val="left" w:pos="1622"/>
        </w:tabs>
        <w:overflowPunct w:val="0"/>
        <w:autoSpaceDE w:val="0"/>
        <w:autoSpaceDN w:val="0"/>
        <w:adjustRightInd w:val="0"/>
        <w:spacing w:after="0"/>
        <w:rPr>
          <w:rFonts w:ascii="Arial" w:eastAsia="Times New Roman" w:hAnsi="Arial"/>
          <w:lang w:eastAsia="ja-JP"/>
        </w:rPr>
      </w:pPr>
    </w:p>
    <w:p w14:paraId="0733577A"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BD7769">
        <w:rPr>
          <w:rFonts w:ascii="Arial" w:eastAsia="Times New Roman" w:hAnsi="Arial"/>
          <w:b/>
          <w:bCs/>
          <w:lang w:eastAsia="ja-JP"/>
        </w:rPr>
        <w:t>Agreements</w:t>
      </w:r>
    </w:p>
    <w:p w14:paraId="57AF95D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1</w:t>
      </w:r>
      <w:r w:rsidRPr="00BD7769">
        <w:rPr>
          <w:rFonts w:ascii="Arial" w:eastAsia="Times New Roman" w:hAnsi="Arial"/>
          <w:lang w:eastAsia="ja-JP"/>
        </w:rPr>
        <w:tab/>
        <w:t>For inter-RAT mobility (5G and 6G), the following is supported as a starting point:</w:t>
      </w:r>
    </w:p>
    <w:p w14:paraId="06138377"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softHyphen/>
      </w:r>
      <w:r w:rsidRPr="00BD7769">
        <w:rPr>
          <w:rFonts w:ascii="Arial" w:eastAsia="Times New Roman" w:hAnsi="Arial"/>
          <w:lang w:eastAsia="ja-JP"/>
        </w:rPr>
        <w:tab/>
        <w:t>For RRC_CONNECTED state, both handover and re-direction can be supported for inter-RAT mobility</w:t>
      </w:r>
    </w:p>
    <w:p w14:paraId="35A72E78"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softHyphen/>
      </w:r>
      <w:r w:rsidRPr="00BD7769">
        <w:rPr>
          <w:rFonts w:ascii="Arial" w:eastAsia="Times New Roman" w:hAnsi="Arial"/>
          <w:lang w:eastAsia="ja-JP"/>
        </w:rPr>
        <w:tab/>
        <w:t>Inter-RAT cell reselection information can be provided to UE.</w:t>
      </w:r>
    </w:p>
    <w:p w14:paraId="69AE7AF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2</w:t>
      </w:r>
      <w:r w:rsidRPr="00BD7769">
        <w:rPr>
          <w:rFonts w:ascii="Arial" w:eastAsia="Times New Roman" w:hAnsi="Arial"/>
          <w:lang w:eastAsia="ja-JP"/>
        </w:rPr>
        <w:tab/>
        <w:t xml:space="preserve">Wait for further mobility discussions on the intra-RAT solutions, before coming back to look at the need for further enhancements.  Consider MRSS. </w:t>
      </w:r>
    </w:p>
    <w:p w14:paraId="7440D11F" w14:textId="77777777" w:rsidR="00866C52" w:rsidRDefault="00866C52" w:rsidP="0020195F">
      <w:pPr>
        <w:pStyle w:val="Doc-text2"/>
        <w:ind w:left="0" w:firstLine="0"/>
      </w:pPr>
    </w:p>
    <w:p w14:paraId="6F05396D" w14:textId="61018800" w:rsidR="007B1CB5" w:rsidRPr="00046784" w:rsidRDefault="007B1CB5" w:rsidP="005E7565">
      <w:pPr>
        <w:spacing w:after="0"/>
        <w:jc w:val="both"/>
        <w:rPr>
          <w:rFonts w:ascii="Arial" w:hAnsi="Arial" w:cs="Arial"/>
          <w:lang w:val="en-US"/>
        </w:rPr>
      </w:pPr>
      <w:r w:rsidRPr="00046784">
        <w:rPr>
          <w:rFonts w:ascii="Arial" w:hAnsi="Arial" w:cs="Arial"/>
          <w:lang w:val="en-US"/>
        </w:rPr>
        <w:t xml:space="preserve">In this document, we </w:t>
      </w:r>
      <w:r w:rsidR="00AA09FE">
        <w:rPr>
          <w:rFonts w:ascii="Arial" w:hAnsi="Arial" w:cs="Arial"/>
          <w:lang w:val="en-US"/>
        </w:rPr>
        <w:t xml:space="preserve">continue to </w:t>
      </w:r>
      <w:r w:rsidRPr="00046784">
        <w:rPr>
          <w:rFonts w:ascii="Arial" w:hAnsi="Arial" w:cs="Arial"/>
          <w:lang w:val="en-US"/>
        </w:rPr>
        <w:t xml:space="preserve">discuss </w:t>
      </w:r>
      <w:r w:rsidR="009E2420" w:rsidRPr="00046784">
        <w:rPr>
          <w:rFonts w:ascii="Arial" w:hAnsi="Arial" w:cs="Arial"/>
          <w:lang w:val="en-US"/>
        </w:rPr>
        <w:t>the</w:t>
      </w:r>
      <w:r w:rsidRPr="00046784">
        <w:rPr>
          <w:rFonts w:ascii="Arial" w:hAnsi="Arial" w:cs="Arial"/>
          <w:lang w:val="en-US"/>
        </w:rPr>
        <w:t xml:space="preserve"> </w:t>
      </w:r>
      <w:r w:rsidR="00D04256" w:rsidRPr="00046784">
        <w:rPr>
          <w:rFonts w:ascii="Arial" w:hAnsi="Arial" w:cs="Arial"/>
          <w:lang w:val="en-US"/>
        </w:rPr>
        <w:t>measurement</w:t>
      </w:r>
      <w:r w:rsidR="00B37BFC">
        <w:rPr>
          <w:rFonts w:ascii="Arial" w:hAnsi="Arial" w:cs="Arial"/>
          <w:lang w:val="en-US"/>
        </w:rPr>
        <w:t xml:space="preserve"> and</w:t>
      </w:r>
      <w:r w:rsidR="00F47A1B">
        <w:rPr>
          <w:rFonts w:ascii="Arial" w:hAnsi="Arial" w:cs="Arial"/>
          <w:lang w:val="en-US"/>
        </w:rPr>
        <w:t xml:space="preserve"> CONNECTED mobility </w:t>
      </w:r>
      <w:r w:rsidR="00D04256" w:rsidRPr="00046784">
        <w:rPr>
          <w:rFonts w:ascii="Arial" w:hAnsi="Arial" w:cs="Arial"/>
          <w:lang w:val="en-US"/>
        </w:rPr>
        <w:t>procedure</w:t>
      </w:r>
      <w:r w:rsidR="00F47A1B">
        <w:rPr>
          <w:rFonts w:ascii="Arial" w:hAnsi="Arial" w:cs="Arial"/>
          <w:lang w:val="en-US"/>
        </w:rPr>
        <w:t xml:space="preserve"> in 6GR</w:t>
      </w:r>
      <w:r w:rsidRPr="00046784">
        <w:rPr>
          <w:rFonts w:ascii="Arial" w:hAnsi="Arial" w:cs="Arial"/>
          <w:lang w:val="en-US"/>
        </w:rPr>
        <w:t>.</w:t>
      </w:r>
    </w:p>
    <w:p w14:paraId="4A5C1F6B" w14:textId="780FCDB5" w:rsidR="001E64CC" w:rsidRPr="00046784" w:rsidRDefault="00CC3365" w:rsidP="00B94288">
      <w:pPr>
        <w:pStyle w:val="Heading1"/>
        <w:rPr>
          <w:lang w:val="en-US" w:eastAsia="ko-KR"/>
        </w:rPr>
      </w:pPr>
      <w:r w:rsidRPr="00046784">
        <w:rPr>
          <w:lang w:val="en-US" w:eastAsia="ko-KR"/>
        </w:rPr>
        <w:lastRenderedPageBreak/>
        <w:t xml:space="preserve">2 </w:t>
      </w:r>
      <w:r w:rsidR="00A161E6" w:rsidRPr="00046784">
        <w:rPr>
          <w:lang w:val="en-US" w:eastAsia="ko-KR"/>
        </w:rPr>
        <w:t>Discussion</w:t>
      </w:r>
    </w:p>
    <w:p w14:paraId="0BD57D80" w14:textId="68280075" w:rsidR="00275359" w:rsidRPr="00046784" w:rsidRDefault="00275359" w:rsidP="00275359">
      <w:pPr>
        <w:pStyle w:val="Heading2"/>
        <w:rPr>
          <w:lang w:val="en-US" w:eastAsia="ko-KR"/>
        </w:rPr>
      </w:pPr>
      <w:bookmarkStart w:id="3" w:name="OLE_LINK8"/>
      <w:bookmarkStart w:id="4" w:name="OLE_LINK9"/>
      <w:r w:rsidRPr="00046784">
        <w:rPr>
          <w:lang w:val="en-US" w:eastAsia="ko-KR"/>
        </w:rPr>
        <w:t>2.</w:t>
      </w:r>
      <w:r w:rsidR="00284C20">
        <w:rPr>
          <w:lang w:val="en-US" w:eastAsia="ko-KR"/>
        </w:rPr>
        <w:t>1</w:t>
      </w:r>
      <w:r w:rsidRPr="00046784">
        <w:rPr>
          <w:lang w:val="en-US" w:eastAsia="ko-KR"/>
        </w:rPr>
        <w:t xml:space="preserve"> </w:t>
      </w:r>
      <w:r w:rsidR="00284C20">
        <w:rPr>
          <w:lang w:val="en-US" w:eastAsia="ko-KR"/>
        </w:rPr>
        <w:t>Measurement</w:t>
      </w:r>
    </w:p>
    <w:bookmarkEnd w:id="3"/>
    <w:p w14:paraId="07062B95" w14:textId="0824EEB5" w:rsidR="00676B84" w:rsidRDefault="00091E0F" w:rsidP="00676B84">
      <w:pPr>
        <w:pStyle w:val="Doc-text2"/>
        <w:tabs>
          <w:tab w:val="left" w:pos="340"/>
        </w:tabs>
        <w:ind w:left="0" w:firstLine="0"/>
        <w:jc w:val="both"/>
        <w:rPr>
          <w:rFonts w:cs="Arial"/>
        </w:rPr>
      </w:pPr>
      <w:r>
        <w:rPr>
          <w:rFonts w:cs="Arial"/>
        </w:rPr>
        <w:t>One of the fundamental aspects o</w:t>
      </w:r>
      <w:r w:rsidR="001A67EE">
        <w:rPr>
          <w:rFonts w:cs="Arial"/>
        </w:rPr>
        <w:t>f</w:t>
      </w:r>
      <w:r>
        <w:rPr>
          <w:rFonts w:cs="Arial"/>
        </w:rPr>
        <w:t xml:space="preserve"> measurement is that </w:t>
      </w:r>
      <w:r w:rsidRPr="0061278A">
        <w:rPr>
          <w:rFonts w:cs="Arial"/>
          <w:i/>
          <w:iCs/>
        </w:rPr>
        <w:t>which RS is required to be measured</w:t>
      </w:r>
      <w:r>
        <w:rPr>
          <w:rFonts w:cs="Arial"/>
        </w:rPr>
        <w:t xml:space="preserve"> for mobility</w:t>
      </w:r>
      <w:r w:rsidR="0061278A">
        <w:rPr>
          <w:rFonts w:cs="Arial"/>
        </w:rPr>
        <w:t xml:space="preserve"> purpose</w:t>
      </w:r>
      <w:r>
        <w:rPr>
          <w:rFonts w:cs="Arial"/>
        </w:rPr>
        <w:t xml:space="preserve">.  </w:t>
      </w:r>
      <w:bookmarkEnd w:id="4"/>
      <w:r w:rsidR="00AA3723" w:rsidRPr="00046784">
        <w:rPr>
          <w:rFonts w:cs="Arial"/>
        </w:rPr>
        <w:t xml:space="preserve">In 5G NR, </w:t>
      </w:r>
      <w:r>
        <w:rPr>
          <w:rFonts w:cs="Arial"/>
        </w:rPr>
        <w:t xml:space="preserve">it is SSB that used for both </w:t>
      </w:r>
      <w:r w:rsidR="00AA3723" w:rsidRPr="00046784">
        <w:rPr>
          <w:rFonts w:cs="Arial"/>
        </w:rPr>
        <w:t xml:space="preserve">idle and connected </w:t>
      </w:r>
      <w:r>
        <w:rPr>
          <w:rFonts w:cs="Arial"/>
        </w:rPr>
        <w:t>mobility</w:t>
      </w:r>
      <w:r w:rsidR="00AA3723" w:rsidRPr="00046784">
        <w:rPr>
          <w:rFonts w:cs="Arial"/>
        </w:rPr>
        <w:t xml:space="preserve">. However, the requirements for in idle mode </w:t>
      </w:r>
      <w:r w:rsidR="00380962">
        <w:rPr>
          <w:rFonts w:cs="Arial"/>
        </w:rPr>
        <w:t xml:space="preserve">mobility </w:t>
      </w:r>
      <w:r w:rsidR="00AA3723" w:rsidRPr="00046784">
        <w:rPr>
          <w:rFonts w:cs="Arial"/>
        </w:rPr>
        <w:t>are different from connected</w:t>
      </w:r>
      <w:r w:rsidR="0061278A">
        <w:rPr>
          <w:rFonts w:cs="Arial"/>
        </w:rPr>
        <w:t xml:space="preserve"> </w:t>
      </w:r>
      <w:r w:rsidR="00AA3723" w:rsidRPr="00046784">
        <w:rPr>
          <w:rFonts w:cs="Arial"/>
        </w:rPr>
        <w:t>mode mobility</w:t>
      </w:r>
      <w:r w:rsidR="00380962">
        <w:rPr>
          <w:rFonts w:cs="Arial"/>
        </w:rPr>
        <w:t>.</w:t>
      </w:r>
      <w:r w:rsidR="00AA3723" w:rsidRPr="00046784">
        <w:rPr>
          <w:rFonts w:cs="Arial"/>
        </w:rPr>
        <w:t xml:space="preserve"> </w:t>
      </w:r>
      <w:r w:rsidR="00380962">
        <w:rPr>
          <w:rFonts w:cs="Arial"/>
        </w:rPr>
        <w:t>R</w:t>
      </w:r>
      <w:r w:rsidR="00AA3723" w:rsidRPr="00046784">
        <w:rPr>
          <w:rFonts w:cs="Arial"/>
        </w:rPr>
        <w:t xml:space="preserve">eduction of network energy consumption </w:t>
      </w:r>
      <w:r w:rsidR="001A67EE">
        <w:rPr>
          <w:rFonts w:cs="Arial"/>
        </w:rPr>
        <w:t>is</w:t>
      </w:r>
      <w:r w:rsidR="00AA3723" w:rsidRPr="00046784">
        <w:rPr>
          <w:rFonts w:cs="Arial"/>
        </w:rPr>
        <w:t xml:space="preserve"> targeted for</w:t>
      </w:r>
      <w:r w:rsidR="00380962">
        <w:rPr>
          <w:rFonts w:cs="Arial"/>
        </w:rPr>
        <w:t xml:space="preserve"> idle mode</w:t>
      </w:r>
      <w:r w:rsidR="00AA3723" w:rsidRPr="00046784">
        <w:rPr>
          <w:rFonts w:cs="Arial"/>
        </w:rPr>
        <w:t>, while enhanced mobility performance</w:t>
      </w:r>
      <w:r w:rsidR="00411A46" w:rsidRPr="00046784">
        <w:rPr>
          <w:rFonts w:cs="Arial"/>
        </w:rPr>
        <w:t xml:space="preserve"> (e.g., fast link set-up and higher beam-level SNR)</w:t>
      </w:r>
      <w:r w:rsidR="00AA3723" w:rsidRPr="00046784">
        <w:rPr>
          <w:rFonts w:cs="Arial"/>
        </w:rPr>
        <w:t xml:space="preserve"> is targeted </w:t>
      </w:r>
      <w:r w:rsidR="001A67EE">
        <w:rPr>
          <w:rFonts w:cs="Arial"/>
        </w:rPr>
        <w:t>for</w:t>
      </w:r>
      <w:r w:rsidR="00AA3723" w:rsidRPr="00046784">
        <w:rPr>
          <w:rFonts w:cs="Arial"/>
        </w:rPr>
        <w:t xml:space="preserve"> connected mode. </w:t>
      </w:r>
      <w:r w:rsidR="00380962">
        <w:rPr>
          <w:rFonts w:cs="Arial"/>
        </w:rPr>
        <w:t xml:space="preserve">This difference is expected to become even more pronounced in 6GR as we target for even lower energy </w:t>
      </w:r>
      <w:r w:rsidR="00DC173E">
        <w:rPr>
          <w:rFonts w:cs="Arial"/>
        </w:rPr>
        <w:t xml:space="preserve">consumption </w:t>
      </w:r>
      <w:r w:rsidR="00380962">
        <w:rPr>
          <w:rFonts w:cs="Arial"/>
        </w:rPr>
        <w:t>and higher mobility performance.</w:t>
      </w:r>
    </w:p>
    <w:p w14:paraId="50E5D553" w14:textId="77777777" w:rsidR="00676B84" w:rsidRDefault="00676B84" w:rsidP="00411A46">
      <w:pPr>
        <w:spacing w:after="0"/>
        <w:jc w:val="both"/>
        <w:rPr>
          <w:rFonts w:ascii="Arial" w:hAnsi="Arial" w:cs="Arial"/>
          <w:lang w:val="en-US"/>
        </w:rPr>
      </w:pPr>
    </w:p>
    <w:p w14:paraId="5DC9EEEF" w14:textId="7D6AFDAE" w:rsidR="00380962" w:rsidRDefault="00411A46" w:rsidP="00AA3723">
      <w:pPr>
        <w:spacing w:after="0"/>
        <w:jc w:val="both"/>
        <w:rPr>
          <w:rFonts w:ascii="Arial" w:hAnsi="Arial" w:cs="Arial"/>
          <w:lang w:val="en-US"/>
        </w:rPr>
      </w:pPr>
      <w:r w:rsidRPr="00046784">
        <w:rPr>
          <w:rFonts w:ascii="Arial" w:hAnsi="Arial" w:cs="Arial"/>
          <w:lang w:val="en-US"/>
        </w:rPr>
        <w:t xml:space="preserve">A single SSB cannot simultaneously satisfy the wide-beam, low-duty-cycle needs of idle mode and the narrow-beam, high-gain demands of connected mode. </w:t>
      </w:r>
      <w:r w:rsidR="00AA3723" w:rsidRPr="00046784">
        <w:rPr>
          <w:rFonts w:ascii="Arial" w:hAnsi="Arial" w:cs="Arial"/>
          <w:lang w:val="en-US"/>
        </w:rPr>
        <w:t xml:space="preserve">Therefore, reuse of the same RS for idle and connected mode for 6GR could be sub-optimal in catering for the different requirements of each mode. </w:t>
      </w:r>
      <w:r w:rsidR="00517C61" w:rsidRPr="00517C61">
        <w:rPr>
          <w:rFonts w:ascii="Arial" w:hAnsi="Arial" w:cs="Arial"/>
          <w:lang w:val="en-US"/>
        </w:rPr>
        <w:t>To allow the 6GR design to optimally cater for both idle and connected mode mobility needs, separate RS for IDLE and CONNECTED should be considered for 6G.</w:t>
      </w:r>
    </w:p>
    <w:p w14:paraId="0134D5B5" w14:textId="77777777" w:rsidR="00380962" w:rsidRDefault="00380962" w:rsidP="00AA3723">
      <w:pPr>
        <w:spacing w:after="0"/>
        <w:jc w:val="both"/>
        <w:rPr>
          <w:rFonts w:ascii="Arial" w:hAnsi="Arial" w:cs="Arial"/>
          <w:lang w:val="en-US"/>
        </w:rPr>
      </w:pPr>
    </w:p>
    <w:p w14:paraId="016D3244" w14:textId="6FB2799C" w:rsidR="00F74ED7" w:rsidRDefault="00F74ED7" w:rsidP="00AA3723">
      <w:pPr>
        <w:spacing w:after="0"/>
        <w:jc w:val="both"/>
        <w:rPr>
          <w:rFonts w:ascii="Arial" w:hAnsi="Arial" w:cs="Arial"/>
          <w:lang w:val="en-US"/>
        </w:rPr>
      </w:pPr>
      <w:r>
        <w:rPr>
          <w:rFonts w:ascii="Arial" w:hAnsi="Arial" w:cs="Arial"/>
          <w:lang w:val="en-US"/>
        </w:rPr>
        <w:t xml:space="preserve">In RAN1#122bis, RAN1 </w:t>
      </w:r>
      <w:r w:rsidR="006B4826">
        <w:rPr>
          <w:rFonts w:ascii="Arial" w:hAnsi="Arial" w:cs="Arial"/>
          <w:lang w:val="en-US"/>
        </w:rPr>
        <w:t>had some agreements for 6GR sync signal desig</w:t>
      </w:r>
      <w:r w:rsidR="00EF3893">
        <w:rPr>
          <w:rFonts w:ascii="Arial" w:hAnsi="Arial" w:cs="Arial"/>
          <w:lang w:val="en-US"/>
        </w:rPr>
        <w:t xml:space="preserve">n and agreed to consider the additional </w:t>
      </w:r>
      <w:r w:rsidR="00454B5B">
        <w:rPr>
          <w:rFonts w:ascii="Arial" w:hAnsi="Arial" w:cs="Arial"/>
          <w:lang w:val="en-US"/>
        </w:rPr>
        <w:t xml:space="preserve">sync </w:t>
      </w:r>
      <w:r w:rsidR="00517C61">
        <w:rPr>
          <w:rFonts w:ascii="Arial" w:hAnsi="Arial" w:cs="Arial"/>
          <w:lang w:val="en-US"/>
        </w:rPr>
        <w:t xml:space="preserve">signal </w:t>
      </w:r>
      <w:r w:rsidR="00517C61" w:rsidRPr="00517C61">
        <w:rPr>
          <w:rFonts w:ascii="Arial" w:hAnsi="Arial" w:cs="Arial"/>
          <w:lang w:val="en-US"/>
        </w:rPr>
        <w:t>structure</w:t>
      </w:r>
      <w:r w:rsidR="00517C61">
        <w:rPr>
          <w:rFonts w:ascii="Arial" w:hAnsi="Arial" w:cs="Arial"/>
          <w:lang w:val="en-US"/>
        </w:rPr>
        <w:t>.</w:t>
      </w:r>
      <w:r w:rsidR="00454B5B">
        <w:rPr>
          <w:rFonts w:ascii="Arial" w:hAnsi="Arial" w:cs="Arial"/>
          <w:lang w:val="en-US"/>
        </w:rPr>
        <w:t xml:space="preserve"> </w:t>
      </w:r>
    </w:p>
    <w:p w14:paraId="637B2587" w14:textId="77777777" w:rsidR="00F74ED7" w:rsidRDefault="00F74ED7" w:rsidP="00AA3723">
      <w:pPr>
        <w:spacing w:after="0"/>
        <w:jc w:val="both"/>
        <w:rPr>
          <w:rFonts w:ascii="Arial" w:hAnsi="Arial" w:cs="Arial"/>
          <w:lang w:val="en-US"/>
        </w:rPr>
      </w:pPr>
    </w:p>
    <w:tbl>
      <w:tblPr>
        <w:tblStyle w:val="TableGrid"/>
        <w:tblW w:w="0" w:type="auto"/>
        <w:tblLook w:val="04A0" w:firstRow="1" w:lastRow="0" w:firstColumn="1" w:lastColumn="0" w:noHBand="0" w:noVBand="1"/>
      </w:tblPr>
      <w:tblGrid>
        <w:gridCol w:w="10343"/>
      </w:tblGrid>
      <w:tr w:rsidR="006B4826" w14:paraId="109D7764" w14:textId="77777777" w:rsidTr="00640994">
        <w:trPr>
          <w:trHeight w:val="1550"/>
        </w:trPr>
        <w:tc>
          <w:tcPr>
            <w:tcW w:w="10343" w:type="dxa"/>
            <w:tcBorders>
              <w:top w:val="single" w:sz="4" w:space="0" w:color="auto"/>
              <w:left w:val="single" w:sz="4" w:space="0" w:color="auto"/>
              <w:bottom w:val="single" w:sz="4" w:space="0" w:color="auto"/>
              <w:right w:val="single" w:sz="4" w:space="0" w:color="auto"/>
            </w:tcBorders>
          </w:tcPr>
          <w:p w14:paraId="0D06B1EC" w14:textId="13BC940D" w:rsidR="00454B5B" w:rsidRDefault="00454B5B" w:rsidP="00454B5B">
            <w:pPr>
              <w:pStyle w:val="BodyText"/>
              <w:suppressAutoHyphens/>
              <w:spacing w:line="259" w:lineRule="auto"/>
              <w:jc w:val="both"/>
              <w:rPr>
                <w:lang w:val="en-US"/>
              </w:rPr>
            </w:pPr>
            <w:r>
              <w:rPr>
                <w:lang w:val="en-US"/>
              </w:rPr>
              <w:t>RAN1#122bis agreements from “</w:t>
            </w:r>
            <w:r w:rsidRPr="00454B5B">
              <w:rPr>
                <w:lang w:val="en-US"/>
              </w:rPr>
              <w:t>11.1 Overview of 6GR air interface</w:t>
            </w:r>
            <w:r>
              <w:rPr>
                <w:lang w:val="en-US"/>
              </w:rPr>
              <w:t>”</w:t>
            </w:r>
          </w:p>
          <w:p w14:paraId="600E41E7" w14:textId="61156669" w:rsidR="006B4826" w:rsidRPr="008D734F" w:rsidRDefault="006B4826">
            <w:pPr>
              <w:pStyle w:val="BodyText"/>
              <w:numPr>
                <w:ilvl w:val="0"/>
                <w:numId w:val="5"/>
              </w:numPr>
              <w:suppressAutoHyphens/>
              <w:spacing w:line="259" w:lineRule="auto"/>
              <w:jc w:val="both"/>
              <w:rPr>
                <w:lang w:val="en-US"/>
              </w:rPr>
            </w:pPr>
            <w:r w:rsidRPr="008D734F">
              <w:rPr>
                <w:lang w:val="en-US"/>
              </w:rPr>
              <w:t xml:space="preserve">High-level aspects to consider for the </w:t>
            </w:r>
            <w:r w:rsidRPr="006B4826">
              <w:rPr>
                <w:highlight w:val="yellow"/>
                <w:lang w:val="en-US"/>
              </w:rPr>
              <w:t>6GR sync</w:t>
            </w:r>
            <w:r w:rsidRPr="006B4826">
              <w:rPr>
                <w:rFonts w:eastAsiaTheme="minorEastAsia" w:hint="eastAsia"/>
                <w:highlight w:val="yellow"/>
                <w:lang w:val="en-US" w:eastAsia="zh-CN"/>
              </w:rPr>
              <w:t xml:space="preserve"> signal</w:t>
            </w:r>
            <w:r w:rsidRPr="008D734F">
              <w:rPr>
                <w:lang w:val="en-US"/>
              </w:rPr>
              <w:t xml:space="preserve"> structure include, but not limited to</w:t>
            </w:r>
          </w:p>
          <w:p w14:paraId="1E031608" w14:textId="77777777" w:rsidR="006B4826" w:rsidRPr="008D734F" w:rsidRDefault="006B4826">
            <w:pPr>
              <w:pStyle w:val="BodyText"/>
              <w:numPr>
                <w:ilvl w:val="1"/>
                <w:numId w:val="5"/>
              </w:numPr>
              <w:suppressAutoHyphens/>
              <w:spacing w:line="259" w:lineRule="auto"/>
              <w:jc w:val="both"/>
              <w:rPr>
                <w:lang w:val="en-US"/>
              </w:rPr>
            </w:pPr>
            <w:r w:rsidRPr="008D734F">
              <w:rPr>
                <w:lang w:val="en-US"/>
              </w:rPr>
              <w:t>Sync raster design</w:t>
            </w:r>
          </w:p>
          <w:p w14:paraId="777105F2" w14:textId="77777777" w:rsidR="006B4826" w:rsidRPr="008D734F" w:rsidRDefault="006B4826">
            <w:pPr>
              <w:pStyle w:val="BodyText"/>
              <w:numPr>
                <w:ilvl w:val="1"/>
                <w:numId w:val="5"/>
              </w:numPr>
              <w:suppressAutoHyphens/>
              <w:spacing w:line="259" w:lineRule="auto"/>
              <w:jc w:val="both"/>
              <w:rPr>
                <w:lang w:val="en-US"/>
              </w:rPr>
            </w:pPr>
            <w:r w:rsidRPr="008D734F">
              <w:rPr>
                <w:lang w:val="en-US"/>
              </w:rPr>
              <w:t>Spectrum allocation</w:t>
            </w:r>
          </w:p>
          <w:p w14:paraId="45FE1B56" w14:textId="77777777" w:rsidR="006B4826" w:rsidRPr="008D734F" w:rsidRDefault="006B4826">
            <w:pPr>
              <w:pStyle w:val="BodyText"/>
              <w:numPr>
                <w:ilvl w:val="1"/>
                <w:numId w:val="5"/>
              </w:numPr>
              <w:suppressAutoHyphens/>
              <w:spacing w:line="259" w:lineRule="auto"/>
              <w:jc w:val="both"/>
              <w:rPr>
                <w:lang w:val="en-US"/>
              </w:rPr>
            </w:pPr>
            <w:r w:rsidRPr="008D734F">
              <w:rPr>
                <w:lang w:val="en-US"/>
              </w:rPr>
              <w:t>smallest maximum supported RF and BB UE BW without spectrum aggregation</w:t>
            </w:r>
          </w:p>
          <w:p w14:paraId="406B86FD" w14:textId="77777777" w:rsidR="006B4826" w:rsidRPr="008D734F" w:rsidRDefault="006B4826">
            <w:pPr>
              <w:pStyle w:val="BodyText"/>
              <w:numPr>
                <w:ilvl w:val="1"/>
                <w:numId w:val="5"/>
              </w:numPr>
              <w:suppressAutoHyphens/>
              <w:spacing w:line="259" w:lineRule="auto"/>
              <w:jc w:val="both"/>
              <w:rPr>
                <w:lang w:val="en-US"/>
              </w:rPr>
            </w:pPr>
            <w:r w:rsidRPr="008D734F">
              <w:rPr>
                <w:lang w:val="en-US"/>
              </w:rPr>
              <w:t>mobile broadband service requirements as high priority</w:t>
            </w:r>
          </w:p>
          <w:p w14:paraId="78265C18" w14:textId="77777777" w:rsidR="006B4826" w:rsidRPr="00951AED" w:rsidRDefault="006B4826">
            <w:pPr>
              <w:pStyle w:val="BodyText"/>
              <w:numPr>
                <w:ilvl w:val="1"/>
                <w:numId w:val="5"/>
              </w:numPr>
              <w:suppressAutoHyphens/>
              <w:spacing w:line="259" w:lineRule="auto"/>
              <w:jc w:val="both"/>
              <w:rPr>
                <w:lang w:val="en-US"/>
              </w:rPr>
            </w:pPr>
            <w:r w:rsidRPr="00951AED">
              <w:rPr>
                <w:lang w:val="en-US"/>
              </w:rPr>
              <w:t>Energy efficiency for both BS and UE</w:t>
            </w:r>
          </w:p>
          <w:p w14:paraId="72A7E9CB" w14:textId="77777777" w:rsidR="006B4826" w:rsidRPr="00951AED" w:rsidRDefault="006B4826">
            <w:pPr>
              <w:pStyle w:val="BodyText"/>
              <w:numPr>
                <w:ilvl w:val="1"/>
                <w:numId w:val="5"/>
              </w:numPr>
              <w:suppressAutoHyphens/>
              <w:spacing w:line="259" w:lineRule="auto"/>
              <w:jc w:val="both"/>
              <w:rPr>
                <w:lang w:val="en-US"/>
              </w:rPr>
            </w:pPr>
            <w:r w:rsidRPr="00951AED">
              <w:rPr>
                <w:lang w:val="en-US"/>
              </w:rPr>
              <w:t>Detection/tracking performance, latency, and complexity</w:t>
            </w:r>
          </w:p>
          <w:p w14:paraId="2EC1124C" w14:textId="77777777" w:rsidR="006B4826" w:rsidRPr="00951AED" w:rsidRDefault="006B4826">
            <w:pPr>
              <w:pStyle w:val="BodyText"/>
              <w:numPr>
                <w:ilvl w:val="2"/>
                <w:numId w:val="5"/>
              </w:numPr>
              <w:suppressAutoHyphens/>
              <w:spacing w:line="259" w:lineRule="auto"/>
              <w:jc w:val="both"/>
              <w:rPr>
                <w:lang w:val="en-US"/>
              </w:rPr>
            </w:pPr>
            <w:r w:rsidRPr="00951AED">
              <w:rPr>
                <w:lang w:val="en-US"/>
              </w:rPr>
              <w:t>Including initial cell search</w:t>
            </w:r>
          </w:p>
          <w:p w14:paraId="3FE7C9B2" w14:textId="77777777" w:rsidR="006B4826" w:rsidRPr="00951AED" w:rsidRDefault="006B4826">
            <w:pPr>
              <w:pStyle w:val="BodyText"/>
              <w:numPr>
                <w:ilvl w:val="1"/>
                <w:numId w:val="5"/>
              </w:numPr>
              <w:suppressAutoHyphens/>
              <w:spacing w:line="259" w:lineRule="auto"/>
              <w:jc w:val="both"/>
              <w:rPr>
                <w:lang w:val="en-US"/>
              </w:rPr>
            </w:pPr>
            <w:r w:rsidRPr="00951AED">
              <w:rPr>
                <w:lang w:val="en-US"/>
              </w:rPr>
              <w:t>Coverage target</w:t>
            </w:r>
          </w:p>
          <w:p w14:paraId="3A319492" w14:textId="77777777" w:rsidR="006B4826" w:rsidRPr="00951AED" w:rsidRDefault="006B4826">
            <w:pPr>
              <w:pStyle w:val="BodyText"/>
              <w:numPr>
                <w:ilvl w:val="1"/>
                <w:numId w:val="5"/>
              </w:numPr>
              <w:suppressAutoHyphens/>
              <w:spacing w:line="259" w:lineRule="auto"/>
              <w:jc w:val="both"/>
              <w:rPr>
                <w:lang w:val="en-US"/>
              </w:rPr>
            </w:pPr>
            <w:r w:rsidRPr="00951AED">
              <w:rPr>
                <w:lang w:val="en-US"/>
              </w:rPr>
              <w:t>Common design for diverse device types</w:t>
            </w:r>
          </w:p>
          <w:p w14:paraId="1B1D75E4" w14:textId="77777777" w:rsidR="006B4826" w:rsidRPr="00951AED" w:rsidRDefault="006B4826">
            <w:pPr>
              <w:pStyle w:val="BodyText"/>
              <w:numPr>
                <w:ilvl w:val="1"/>
                <w:numId w:val="5"/>
              </w:numPr>
              <w:suppressAutoHyphens/>
              <w:spacing w:line="259" w:lineRule="auto"/>
              <w:jc w:val="both"/>
              <w:rPr>
                <w:lang w:val="en-US"/>
              </w:rPr>
            </w:pPr>
            <w:r w:rsidRPr="00951AED">
              <w:rPr>
                <w:lang w:val="en-US"/>
              </w:rPr>
              <w:t>Consideration of the supported deployment</w:t>
            </w:r>
          </w:p>
          <w:p w14:paraId="54405EEE" w14:textId="77777777" w:rsidR="006B4826" w:rsidRPr="006B4826" w:rsidRDefault="006B4826">
            <w:pPr>
              <w:pStyle w:val="BodyText"/>
              <w:numPr>
                <w:ilvl w:val="1"/>
                <w:numId w:val="5"/>
              </w:numPr>
              <w:suppressAutoHyphens/>
              <w:spacing w:line="259" w:lineRule="auto"/>
              <w:jc w:val="both"/>
              <w:rPr>
                <w:highlight w:val="yellow"/>
                <w:lang w:val="en-US"/>
              </w:rPr>
            </w:pPr>
            <w:r w:rsidRPr="006B4826">
              <w:rPr>
                <w:highlight w:val="yellow"/>
                <w:lang w:val="en-US"/>
              </w:rPr>
              <w:t xml:space="preserve">Consideration on whether the </w:t>
            </w:r>
            <w:r w:rsidRPr="006B4826">
              <w:rPr>
                <w:rFonts w:eastAsiaTheme="minorEastAsia" w:hint="eastAsia"/>
                <w:highlight w:val="yellow"/>
                <w:lang w:val="en-US" w:eastAsia="zh-CN"/>
              </w:rPr>
              <w:t>single</w:t>
            </w:r>
            <w:r w:rsidRPr="006B4826">
              <w:rPr>
                <w:highlight w:val="yellow"/>
                <w:lang w:val="en-US"/>
              </w:rPr>
              <w:t xml:space="preserve"> sync</w:t>
            </w:r>
            <w:r w:rsidRPr="006B4826">
              <w:rPr>
                <w:rFonts w:eastAsiaTheme="minorEastAsia" w:hint="eastAsia"/>
                <w:highlight w:val="yellow"/>
                <w:lang w:val="en-US" w:eastAsia="zh-CN"/>
              </w:rPr>
              <w:t xml:space="preserve"> signal structure</w:t>
            </w:r>
            <w:r w:rsidRPr="006B4826">
              <w:rPr>
                <w:highlight w:val="yellow"/>
                <w:lang w:val="en-US"/>
              </w:rPr>
              <w:t xml:space="preserve"> is</w:t>
            </w:r>
            <w:r w:rsidRPr="006B4826">
              <w:rPr>
                <w:rFonts w:eastAsiaTheme="minorEastAsia" w:hint="eastAsia"/>
                <w:highlight w:val="yellow"/>
                <w:lang w:val="en-US" w:eastAsia="zh-CN"/>
              </w:rPr>
              <w:t xml:space="preserve"> sufficient</w:t>
            </w:r>
          </w:p>
          <w:p w14:paraId="0334834B" w14:textId="633FB462" w:rsidR="006B4826" w:rsidRPr="006B4826" w:rsidRDefault="006B4826">
            <w:pPr>
              <w:pStyle w:val="BodyText"/>
              <w:numPr>
                <w:ilvl w:val="1"/>
                <w:numId w:val="5"/>
              </w:numPr>
              <w:suppressAutoHyphens/>
              <w:spacing w:line="259" w:lineRule="auto"/>
              <w:jc w:val="both"/>
              <w:rPr>
                <w:lang w:val="en-US"/>
              </w:rPr>
            </w:pPr>
            <w:r w:rsidRPr="00852199">
              <w:rPr>
                <w:lang w:val="en-US"/>
              </w:rPr>
              <w:t>Note: Aspects impacting on the periodicity is to be discussed under AI11.5</w:t>
            </w:r>
          </w:p>
        </w:tc>
      </w:tr>
    </w:tbl>
    <w:p w14:paraId="0FDF6263" w14:textId="77777777" w:rsidR="00F74ED7" w:rsidRPr="00F74ED7" w:rsidRDefault="00F74ED7" w:rsidP="00AA3723">
      <w:pPr>
        <w:spacing w:after="0"/>
        <w:jc w:val="both"/>
        <w:rPr>
          <w:rFonts w:ascii="Arial" w:hAnsi="Arial" w:cs="Arial"/>
        </w:rPr>
      </w:pPr>
    </w:p>
    <w:p w14:paraId="587FE24B" w14:textId="09D1293D" w:rsidR="00273319" w:rsidRDefault="00743681" w:rsidP="00273319">
      <w:pPr>
        <w:spacing w:after="0"/>
        <w:jc w:val="both"/>
        <w:rPr>
          <w:rFonts w:ascii="Arial" w:hAnsi="Arial" w:cs="Arial"/>
          <w:lang w:val="en-US"/>
        </w:rPr>
      </w:pPr>
      <w:r>
        <w:rPr>
          <w:rFonts w:ascii="Arial" w:hAnsi="Arial" w:cs="Arial"/>
          <w:lang w:val="en-US"/>
        </w:rPr>
        <w:t xml:space="preserve">RAN2 </w:t>
      </w:r>
      <w:r w:rsidR="00EC2FAD">
        <w:rPr>
          <w:rFonts w:ascii="Arial" w:hAnsi="Arial" w:cs="Arial"/>
          <w:lang w:val="en-US"/>
        </w:rPr>
        <w:t>should</w:t>
      </w:r>
      <w:r>
        <w:rPr>
          <w:rFonts w:ascii="Arial" w:hAnsi="Arial" w:cs="Arial"/>
          <w:lang w:val="en-US"/>
        </w:rPr>
        <w:t xml:space="preserve"> wait RAN1</w:t>
      </w:r>
      <w:r w:rsidR="00EC2FAD">
        <w:rPr>
          <w:rFonts w:ascii="Arial" w:hAnsi="Arial" w:cs="Arial"/>
          <w:lang w:val="en-US"/>
        </w:rPr>
        <w:t xml:space="preserve"> progress </w:t>
      </w:r>
      <w:r>
        <w:rPr>
          <w:rFonts w:ascii="Arial" w:hAnsi="Arial" w:cs="Arial"/>
          <w:lang w:val="en-US"/>
        </w:rPr>
        <w:t xml:space="preserve">on the </w:t>
      </w:r>
      <w:r w:rsidR="00273319">
        <w:rPr>
          <w:rFonts w:ascii="Arial" w:hAnsi="Arial" w:cs="Arial"/>
          <w:lang w:val="en-US"/>
        </w:rPr>
        <w:t>RS design</w:t>
      </w:r>
      <w:r w:rsidR="00EC2FAD">
        <w:rPr>
          <w:rFonts w:ascii="Arial" w:hAnsi="Arial" w:cs="Arial"/>
          <w:lang w:val="en-US"/>
        </w:rPr>
        <w:t>.</w:t>
      </w:r>
      <w:r w:rsidR="00273319">
        <w:rPr>
          <w:rFonts w:ascii="Arial" w:hAnsi="Arial" w:cs="Arial"/>
          <w:lang w:val="en-US"/>
        </w:rPr>
        <w:t xml:space="preserve"> </w:t>
      </w:r>
      <w:r w:rsidR="00EC2FAD">
        <w:rPr>
          <w:rFonts w:ascii="Arial" w:hAnsi="Arial" w:cs="Arial"/>
          <w:lang w:val="en-US"/>
        </w:rPr>
        <w:t>At the same time, it would be good for RA</w:t>
      </w:r>
      <w:r w:rsidR="008D12E9">
        <w:rPr>
          <w:rFonts w:ascii="Arial" w:hAnsi="Arial" w:cs="Arial"/>
          <w:lang w:val="en-US"/>
        </w:rPr>
        <w:t>N2 to start thinking about the procedure impact (if any) based on new RS design.</w:t>
      </w:r>
    </w:p>
    <w:p w14:paraId="26BD0180" w14:textId="77777777" w:rsidR="00636CDD" w:rsidRPr="00046784" w:rsidRDefault="00636CDD" w:rsidP="001E63E8">
      <w:pPr>
        <w:pStyle w:val="Doc-text2"/>
        <w:tabs>
          <w:tab w:val="left" w:pos="340"/>
        </w:tabs>
        <w:ind w:left="0" w:firstLine="0"/>
        <w:jc w:val="both"/>
        <w:rPr>
          <w:rFonts w:eastAsiaTheme="minorEastAsia"/>
          <w:b/>
        </w:rPr>
      </w:pPr>
    </w:p>
    <w:p w14:paraId="360A454E" w14:textId="22C94844" w:rsidR="00636CDD" w:rsidRPr="00046784" w:rsidRDefault="00D72985" w:rsidP="00636CDD">
      <w:pPr>
        <w:pStyle w:val="Doc-text2"/>
        <w:tabs>
          <w:tab w:val="left" w:pos="340"/>
        </w:tabs>
        <w:ind w:left="0" w:firstLine="0"/>
        <w:jc w:val="both"/>
        <w:rPr>
          <w:rFonts w:eastAsiaTheme="minorEastAsia"/>
          <w:b/>
        </w:rPr>
      </w:pPr>
      <w:r>
        <w:rPr>
          <w:rFonts w:cs="Arial"/>
          <w:b/>
        </w:rPr>
        <w:t>Observation 1</w:t>
      </w:r>
      <w:r w:rsidR="00636CDD" w:rsidRPr="00046784">
        <w:rPr>
          <w:rFonts w:cs="Arial"/>
          <w:b/>
        </w:rPr>
        <w:t>:</w:t>
      </w:r>
      <w:r w:rsidR="00661700" w:rsidRPr="00046784">
        <w:rPr>
          <w:rFonts w:cs="Arial"/>
          <w:b/>
        </w:rPr>
        <w:t xml:space="preserve"> </w:t>
      </w:r>
      <w:r w:rsidR="0081517B" w:rsidRPr="00046784">
        <w:rPr>
          <w:rFonts w:cs="Arial"/>
          <w:b/>
        </w:rPr>
        <w:t>RAN</w:t>
      </w:r>
      <w:r w:rsidR="00676B84">
        <w:rPr>
          <w:rFonts w:cs="Arial"/>
          <w:b/>
        </w:rPr>
        <w:t>1</w:t>
      </w:r>
      <w:r w:rsidR="00EF3893">
        <w:rPr>
          <w:rFonts w:cs="Arial"/>
          <w:b/>
        </w:rPr>
        <w:t xml:space="preserve"> agreed to conside</w:t>
      </w:r>
      <w:r w:rsidR="00273319">
        <w:rPr>
          <w:rFonts w:cs="Arial"/>
          <w:b/>
        </w:rPr>
        <w:t>r more than one sync signal</w:t>
      </w:r>
      <w:r w:rsidR="00827BFE" w:rsidRPr="00046784">
        <w:rPr>
          <w:rFonts w:cs="Arial"/>
          <w:b/>
        </w:rPr>
        <w:t>.</w:t>
      </w:r>
      <w:r w:rsidR="00273319">
        <w:rPr>
          <w:rFonts w:cs="Arial"/>
          <w:b/>
        </w:rPr>
        <w:t xml:space="preserve"> </w:t>
      </w:r>
      <w:r w:rsidR="008D12E9">
        <w:rPr>
          <w:rFonts w:cs="Arial"/>
          <w:b/>
        </w:rPr>
        <w:t xml:space="preserve">RAN1 conclusions on RS signal design </w:t>
      </w:r>
      <w:r w:rsidR="00AB539A">
        <w:rPr>
          <w:rFonts w:cs="Arial"/>
          <w:b/>
        </w:rPr>
        <w:t>may</w:t>
      </w:r>
      <w:r w:rsidR="008D12E9">
        <w:rPr>
          <w:rFonts w:cs="Arial"/>
          <w:b/>
        </w:rPr>
        <w:t xml:space="preserve"> impact RAN2 mobility procedure.</w:t>
      </w:r>
      <w:r w:rsidR="00BF4498">
        <w:rPr>
          <w:rFonts w:cs="Arial"/>
          <w:b/>
        </w:rPr>
        <w:t xml:space="preserve"> </w:t>
      </w:r>
      <w:r w:rsidR="00827BFE" w:rsidRPr="00046784">
        <w:rPr>
          <w:rFonts w:cs="Arial"/>
          <w:b/>
        </w:rPr>
        <w:t xml:space="preserve"> </w:t>
      </w:r>
    </w:p>
    <w:p w14:paraId="32B83486" w14:textId="77777777" w:rsidR="00BE6C08" w:rsidRDefault="00BE6C08" w:rsidP="001E63E8">
      <w:pPr>
        <w:pStyle w:val="Doc-text2"/>
        <w:tabs>
          <w:tab w:val="left" w:pos="340"/>
        </w:tabs>
        <w:ind w:left="0" w:firstLine="0"/>
        <w:jc w:val="both"/>
        <w:rPr>
          <w:rFonts w:eastAsiaTheme="minorEastAsia"/>
          <w:b/>
        </w:rPr>
      </w:pPr>
    </w:p>
    <w:p w14:paraId="67FEF3F7" w14:textId="4B9B7E46" w:rsidR="00351D88" w:rsidRPr="00C8421C" w:rsidRDefault="00C8421C" w:rsidP="001E63E8">
      <w:pPr>
        <w:pStyle w:val="Doc-text2"/>
        <w:tabs>
          <w:tab w:val="left" w:pos="340"/>
        </w:tabs>
        <w:ind w:left="0" w:firstLine="0"/>
        <w:jc w:val="both"/>
        <w:rPr>
          <w:rFonts w:eastAsiaTheme="minorEastAsia"/>
          <w:bCs/>
        </w:rPr>
      </w:pPr>
      <w:r w:rsidRPr="00C8421C">
        <w:rPr>
          <w:rFonts w:eastAsiaTheme="minorEastAsia"/>
          <w:bCs/>
        </w:rPr>
        <w:t xml:space="preserve">While the detail </w:t>
      </w:r>
      <w:r>
        <w:rPr>
          <w:rFonts w:eastAsiaTheme="minorEastAsia"/>
          <w:bCs/>
        </w:rPr>
        <w:t xml:space="preserve">of RS design is up to RAN1, we provide our assumption on 6G RS usage for different purpose in below Table 1. </w:t>
      </w:r>
    </w:p>
    <w:p w14:paraId="061E0F15" w14:textId="77777777" w:rsidR="00C8421C" w:rsidRDefault="00C8421C" w:rsidP="001E63E8">
      <w:pPr>
        <w:pStyle w:val="Doc-text2"/>
        <w:tabs>
          <w:tab w:val="left" w:pos="340"/>
        </w:tabs>
        <w:ind w:left="0" w:firstLine="0"/>
        <w:jc w:val="both"/>
        <w:rPr>
          <w:rFonts w:eastAsiaTheme="minorEastAsia"/>
          <w:b/>
        </w:rPr>
      </w:pPr>
    </w:p>
    <w:p w14:paraId="4320615E" w14:textId="26E04039" w:rsidR="00AB539A" w:rsidRDefault="00AB539A" w:rsidP="00AB539A">
      <w:pPr>
        <w:pStyle w:val="Doc-text2"/>
        <w:tabs>
          <w:tab w:val="left" w:pos="340"/>
        </w:tabs>
        <w:ind w:left="0" w:firstLine="0"/>
        <w:jc w:val="center"/>
        <w:rPr>
          <w:rFonts w:eastAsiaTheme="minorEastAsia"/>
          <w:bCs/>
        </w:rPr>
      </w:pPr>
      <w:r>
        <w:rPr>
          <w:rFonts w:eastAsiaTheme="minorEastAsia"/>
          <w:bCs/>
        </w:rPr>
        <w:t>Table 1 – RS for different purpose</w:t>
      </w:r>
    </w:p>
    <w:tbl>
      <w:tblPr>
        <w:tblStyle w:val="TableGrid"/>
        <w:tblW w:w="9634" w:type="dxa"/>
        <w:jc w:val="center"/>
        <w:tblLook w:val="04A0" w:firstRow="1" w:lastRow="0" w:firstColumn="1" w:lastColumn="0" w:noHBand="0" w:noVBand="1"/>
      </w:tblPr>
      <w:tblGrid>
        <w:gridCol w:w="3681"/>
        <w:gridCol w:w="5953"/>
      </w:tblGrid>
      <w:tr w:rsidR="009241C4" w14:paraId="4D4F93FE" w14:textId="77777777" w:rsidTr="00C704FB">
        <w:trPr>
          <w:jc w:val="center"/>
        </w:trPr>
        <w:tc>
          <w:tcPr>
            <w:tcW w:w="3681" w:type="dxa"/>
          </w:tcPr>
          <w:p w14:paraId="4453649B" w14:textId="77E36701" w:rsidR="009241C4" w:rsidRDefault="009241C4" w:rsidP="001E63E8">
            <w:pPr>
              <w:pStyle w:val="Doc-text2"/>
              <w:tabs>
                <w:tab w:val="left" w:pos="340"/>
              </w:tabs>
              <w:ind w:left="0" w:firstLine="0"/>
              <w:jc w:val="both"/>
              <w:rPr>
                <w:rFonts w:eastAsiaTheme="minorEastAsia"/>
                <w:b/>
              </w:rPr>
            </w:pPr>
            <w:r>
              <w:rPr>
                <w:rFonts w:eastAsiaTheme="minorEastAsia"/>
                <w:b/>
              </w:rPr>
              <w:t>Function</w:t>
            </w:r>
          </w:p>
        </w:tc>
        <w:tc>
          <w:tcPr>
            <w:tcW w:w="5953" w:type="dxa"/>
          </w:tcPr>
          <w:p w14:paraId="4E4779C1" w14:textId="357628B7" w:rsidR="009241C4" w:rsidRDefault="009241C4" w:rsidP="001E63E8">
            <w:pPr>
              <w:pStyle w:val="Doc-text2"/>
              <w:tabs>
                <w:tab w:val="left" w:pos="340"/>
              </w:tabs>
              <w:ind w:left="0" w:firstLine="0"/>
              <w:jc w:val="both"/>
              <w:rPr>
                <w:rFonts w:eastAsiaTheme="minorEastAsia"/>
                <w:b/>
              </w:rPr>
            </w:pPr>
            <w:r>
              <w:rPr>
                <w:rFonts w:eastAsiaTheme="minorEastAsia"/>
                <w:b/>
              </w:rPr>
              <w:t>RS</w:t>
            </w:r>
          </w:p>
        </w:tc>
      </w:tr>
      <w:tr w:rsidR="009241C4" w14:paraId="170982F7" w14:textId="77777777" w:rsidTr="00C704FB">
        <w:trPr>
          <w:jc w:val="center"/>
        </w:trPr>
        <w:tc>
          <w:tcPr>
            <w:tcW w:w="3681" w:type="dxa"/>
          </w:tcPr>
          <w:p w14:paraId="233DEE8B" w14:textId="405CBCDB" w:rsidR="009241C4" w:rsidRDefault="009241C4" w:rsidP="00AB539A">
            <w:pPr>
              <w:pStyle w:val="Doc-text2"/>
              <w:tabs>
                <w:tab w:val="left" w:pos="340"/>
              </w:tabs>
              <w:ind w:left="0" w:firstLine="0"/>
              <w:rPr>
                <w:rFonts w:eastAsiaTheme="minorEastAsia"/>
                <w:bCs/>
              </w:rPr>
            </w:pPr>
            <w:r>
              <w:rPr>
                <w:rFonts w:eastAsiaTheme="minorEastAsia"/>
                <w:bCs/>
              </w:rPr>
              <w:t>Idle mode Mobility</w:t>
            </w:r>
          </w:p>
          <w:p w14:paraId="00ED5370" w14:textId="70B02775" w:rsidR="009241C4" w:rsidRPr="001C1E1A" w:rsidRDefault="009241C4" w:rsidP="00AB539A">
            <w:pPr>
              <w:pStyle w:val="Doc-text2"/>
              <w:tabs>
                <w:tab w:val="left" w:pos="340"/>
              </w:tabs>
              <w:ind w:left="0" w:firstLine="0"/>
              <w:rPr>
                <w:rFonts w:eastAsiaTheme="minorEastAsia"/>
                <w:bCs/>
              </w:rPr>
            </w:pPr>
            <w:r>
              <w:rPr>
                <w:rFonts w:eastAsiaTheme="minorEastAsia"/>
                <w:bCs/>
              </w:rPr>
              <w:t>(</w:t>
            </w:r>
            <w:r w:rsidR="008150CA">
              <w:rPr>
                <w:rFonts w:eastAsiaTheme="minorEastAsia"/>
                <w:bCs/>
              </w:rPr>
              <w:t>C</w:t>
            </w:r>
            <w:r>
              <w:rPr>
                <w:rFonts w:eastAsiaTheme="minorEastAsia"/>
                <w:bCs/>
              </w:rPr>
              <w:t>ell detection, coarse DL sync)</w:t>
            </w:r>
          </w:p>
        </w:tc>
        <w:tc>
          <w:tcPr>
            <w:tcW w:w="5953" w:type="dxa"/>
          </w:tcPr>
          <w:p w14:paraId="2A0B84CB" w14:textId="16F22535" w:rsidR="001134D3" w:rsidRDefault="009241C4" w:rsidP="00AB539A">
            <w:pPr>
              <w:pStyle w:val="Doc-text2"/>
              <w:tabs>
                <w:tab w:val="left" w:pos="340"/>
              </w:tabs>
              <w:ind w:left="0" w:firstLine="0"/>
              <w:rPr>
                <w:rFonts w:eastAsiaTheme="minorEastAsia"/>
                <w:bCs/>
              </w:rPr>
            </w:pPr>
            <w:r w:rsidRPr="0072675F">
              <w:rPr>
                <w:rFonts w:eastAsiaTheme="minorEastAsia"/>
                <w:b/>
              </w:rPr>
              <w:t>Cell-level</w:t>
            </w:r>
            <w:r>
              <w:rPr>
                <w:rFonts w:eastAsiaTheme="minorEastAsia"/>
                <w:bCs/>
              </w:rPr>
              <w:t xml:space="preserve"> RS </w:t>
            </w:r>
          </w:p>
          <w:p w14:paraId="2BA6B333" w14:textId="2C0DD75B" w:rsidR="009241C4" w:rsidRPr="001C1E1A" w:rsidRDefault="009241C4" w:rsidP="00AB539A">
            <w:pPr>
              <w:pStyle w:val="Doc-text2"/>
              <w:tabs>
                <w:tab w:val="left" w:pos="340"/>
              </w:tabs>
              <w:ind w:left="0" w:firstLine="0"/>
              <w:rPr>
                <w:rFonts w:eastAsiaTheme="minorEastAsia"/>
                <w:bCs/>
              </w:rPr>
            </w:pPr>
            <w:r>
              <w:rPr>
                <w:rFonts w:eastAsiaTheme="minorEastAsia"/>
                <w:bCs/>
              </w:rPr>
              <w:t>NR SSB-like with longer periodicity.</w:t>
            </w:r>
          </w:p>
        </w:tc>
      </w:tr>
      <w:tr w:rsidR="0072675F" w14:paraId="7265B698" w14:textId="77777777" w:rsidTr="00C704FB">
        <w:trPr>
          <w:jc w:val="center"/>
        </w:trPr>
        <w:tc>
          <w:tcPr>
            <w:tcW w:w="3681" w:type="dxa"/>
          </w:tcPr>
          <w:p w14:paraId="67E6D147" w14:textId="4FF04486" w:rsidR="0072675F" w:rsidRDefault="0072675F" w:rsidP="00AB539A">
            <w:pPr>
              <w:pStyle w:val="Doc-text2"/>
              <w:tabs>
                <w:tab w:val="left" w:pos="340"/>
              </w:tabs>
              <w:ind w:left="0" w:firstLine="0"/>
              <w:rPr>
                <w:rFonts w:eastAsiaTheme="minorEastAsia"/>
                <w:bCs/>
              </w:rPr>
            </w:pPr>
            <w:r>
              <w:rPr>
                <w:rFonts w:eastAsiaTheme="minorEastAsia"/>
                <w:bCs/>
              </w:rPr>
              <w:t>Connected mode Mobility</w:t>
            </w:r>
          </w:p>
          <w:p w14:paraId="62F1F121" w14:textId="2A3703A4" w:rsidR="0072675F" w:rsidRPr="001C1E1A" w:rsidRDefault="0072675F" w:rsidP="00AB539A">
            <w:pPr>
              <w:pStyle w:val="Doc-text2"/>
              <w:tabs>
                <w:tab w:val="left" w:pos="340"/>
              </w:tabs>
              <w:ind w:left="0" w:firstLine="0"/>
              <w:rPr>
                <w:rFonts w:eastAsiaTheme="minorEastAsia"/>
                <w:bCs/>
              </w:rPr>
            </w:pPr>
            <w:r>
              <w:rPr>
                <w:rFonts w:eastAsiaTheme="minorEastAsia"/>
                <w:bCs/>
              </w:rPr>
              <w:t>(TRP detection</w:t>
            </w:r>
            <w:r w:rsidR="00261149">
              <w:rPr>
                <w:rFonts w:eastAsiaTheme="minorEastAsia"/>
                <w:bCs/>
              </w:rPr>
              <w:t xml:space="preserve">, </w:t>
            </w:r>
            <w:r w:rsidR="00261149" w:rsidRPr="00261149">
              <w:rPr>
                <w:rFonts w:eastAsiaTheme="minorEastAsia"/>
                <w:bCs/>
                <w:lang w:val="en-GB"/>
              </w:rPr>
              <w:t>Fine DL sync</w:t>
            </w:r>
            <w:r>
              <w:rPr>
                <w:rFonts w:eastAsiaTheme="minorEastAsia"/>
                <w:bCs/>
              </w:rPr>
              <w:t>)</w:t>
            </w:r>
          </w:p>
        </w:tc>
        <w:tc>
          <w:tcPr>
            <w:tcW w:w="5953" w:type="dxa"/>
            <w:vMerge w:val="restart"/>
          </w:tcPr>
          <w:p w14:paraId="541BD7CB" w14:textId="77777777" w:rsidR="0072675F" w:rsidRDefault="0072675F" w:rsidP="00AB539A">
            <w:pPr>
              <w:pStyle w:val="Doc-text2"/>
              <w:tabs>
                <w:tab w:val="left" w:pos="340"/>
              </w:tabs>
              <w:ind w:left="0" w:firstLine="0"/>
              <w:rPr>
                <w:rFonts w:eastAsiaTheme="minorEastAsia"/>
                <w:bCs/>
              </w:rPr>
            </w:pPr>
            <w:r w:rsidRPr="0072675F">
              <w:rPr>
                <w:rFonts w:eastAsiaTheme="minorEastAsia"/>
                <w:b/>
              </w:rPr>
              <w:t>TRP-level</w:t>
            </w:r>
            <w:r>
              <w:rPr>
                <w:rFonts w:eastAsiaTheme="minorEastAsia"/>
                <w:bCs/>
              </w:rPr>
              <w:t xml:space="preserve"> RS</w:t>
            </w:r>
          </w:p>
          <w:p w14:paraId="37D2F3D9" w14:textId="77777777" w:rsidR="0072675F" w:rsidRDefault="0072675F" w:rsidP="00AB539A">
            <w:pPr>
              <w:pStyle w:val="Doc-text2"/>
              <w:tabs>
                <w:tab w:val="left" w:pos="340"/>
              </w:tabs>
              <w:ind w:left="0" w:firstLine="0"/>
              <w:rPr>
                <w:rFonts w:eastAsiaTheme="minorEastAsia"/>
                <w:bCs/>
              </w:rPr>
            </w:pPr>
            <w:r>
              <w:rPr>
                <w:rFonts w:eastAsiaTheme="minorEastAsia"/>
                <w:bCs/>
              </w:rPr>
              <w:t xml:space="preserve">Including NR TRS functionality and part of NR CSI-RS function. </w:t>
            </w:r>
          </w:p>
          <w:p w14:paraId="76BC700D" w14:textId="5ECE9FBD" w:rsidR="0072675F" w:rsidRPr="001C1E1A" w:rsidRDefault="0072675F" w:rsidP="00AB539A">
            <w:pPr>
              <w:pStyle w:val="Doc-text2"/>
              <w:tabs>
                <w:tab w:val="left" w:pos="340"/>
              </w:tabs>
              <w:ind w:left="0" w:firstLine="0"/>
              <w:rPr>
                <w:rFonts w:eastAsiaTheme="minorEastAsia"/>
                <w:bCs/>
              </w:rPr>
            </w:pPr>
            <w:r>
              <w:rPr>
                <w:rFonts w:eastAsiaTheme="minorEastAsia"/>
                <w:bCs/>
              </w:rPr>
              <w:t>Lower bandwidth / complexity compared to NR CSI-RS.</w:t>
            </w:r>
          </w:p>
        </w:tc>
      </w:tr>
      <w:tr w:rsidR="0072675F" w14:paraId="16F0175C" w14:textId="77777777" w:rsidTr="00C704FB">
        <w:trPr>
          <w:jc w:val="center"/>
        </w:trPr>
        <w:tc>
          <w:tcPr>
            <w:tcW w:w="3681" w:type="dxa"/>
          </w:tcPr>
          <w:p w14:paraId="431AEC2A" w14:textId="77BC8F28" w:rsidR="0072675F" w:rsidRPr="001C1E1A" w:rsidRDefault="0072675F" w:rsidP="00AB539A">
            <w:pPr>
              <w:pStyle w:val="Doc-text2"/>
              <w:tabs>
                <w:tab w:val="left" w:pos="340"/>
              </w:tabs>
              <w:ind w:left="0" w:firstLine="0"/>
              <w:rPr>
                <w:rFonts w:eastAsiaTheme="minorEastAsia"/>
                <w:bCs/>
              </w:rPr>
            </w:pPr>
            <w:r>
              <w:rPr>
                <w:rFonts w:eastAsiaTheme="minorEastAsia"/>
                <w:bCs/>
              </w:rPr>
              <w:t>Beam management</w:t>
            </w:r>
          </w:p>
        </w:tc>
        <w:tc>
          <w:tcPr>
            <w:tcW w:w="5953" w:type="dxa"/>
            <w:vMerge/>
          </w:tcPr>
          <w:p w14:paraId="7AE2E657" w14:textId="64019BD1" w:rsidR="0072675F" w:rsidRPr="001C1E1A" w:rsidRDefault="0072675F" w:rsidP="00AB539A">
            <w:pPr>
              <w:pStyle w:val="Doc-text2"/>
              <w:tabs>
                <w:tab w:val="left" w:pos="340"/>
              </w:tabs>
              <w:ind w:left="0" w:firstLine="0"/>
              <w:rPr>
                <w:rFonts w:eastAsiaTheme="minorEastAsia"/>
                <w:bCs/>
              </w:rPr>
            </w:pPr>
          </w:p>
        </w:tc>
      </w:tr>
      <w:tr w:rsidR="0072675F" w14:paraId="2005D56A" w14:textId="77777777" w:rsidTr="00C704FB">
        <w:trPr>
          <w:jc w:val="center"/>
        </w:trPr>
        <w:tc>
          <w:tcPr>
            <w:tcW w:w="3681" w:type="dxa"/>
          </w:tcPr>
          <w:p w14:paraId="7367664D" w14:textId="41D95545" w:rsidR="0072675F" w:rsidRDefault="0072675F" w:rsidP="00AB539A">
            <w:pPr>
              <w:pStyle w:val="Doc-text2"/>
              <w:tabs>
                <w:tab w:val="left" w:pos="340"/>
              </w:tabs>
              <w:ind w:left="0" w:firstLine="0"/>
              <w:rPr>
                <w:rFonts w:eastAsiaTheme="minorEastAsia"/>
                <w:bCs/>
              </w:rPr>
            </w:pPr>
            <w:r w:rsidRPr="0072675F">
              <w:rPr>
                <w:rFonts w:eastAsiaTheme="minorEastAsia"/>
                <w:bCs/>
                <w:lang w:val="en-GB"/>
              </w:rPr>
              <w:t>Early CSI</w:t>
            </w:r>
          </w:p>
        </w:tc>
        <w:tc>
          <w:tcPr>
            <w:tcW w:w="5953" w:type="dxa"/>
            <w:vMerge/>
          </w:tcPr>
          <w:p w14:paraId="60CC7DE0" w14:textId="77777777" w:rsidR="0072675F" w:rsidRPr="001C1E1A" w:rsidRDefault="0072675F" w:rsidP="00AB539A">
            <w:pPr>
              <w:pStyle w:val="Doc-text2"/>
              <w:tabs>
                <w:tab w:val="left" w:pos="340"/>
              </w:tabs>
              <w:ind w:left="0" w:firstLine="0"/>
              <w:rPr>
                <w:rFonts w:eastAsiaTheme="minorEastAsia"/>
                <w:bCs/>
              </w:rPr>
            </w:pPr>
          </w:p>
        </w:tc>
      </w:tr>
    </w:tbl>
    <w:p w14:paraId="37D8D714" w14:textId="77777777" w:rsidR="001C1E1A" w:rsidRDefault="001C1E1A" w:rsidP="001E63E8">
      <w:pPr>
        <w:pStyle w:val="Doc-text2"/>
        <w:tabs>
          <w:tab w:val="left" w:pos="340"/>
        </w:tabs>
        <w:ind w:left="0" w:firstLine="0"/>
        <w:jc w:val="both"/>
        <w:rPr>
          <w:rFonts w:eastAsiaTheme="minorEastAsia"/>
          <w:b/>
        </w:rPr>
      </w:pPr>
    </w:p>
    <w:p w14:paraId="6D2961E8" w14:textId="78FD9890" w:rsidR="009241C4" w:rsidRDefault="00C8421C" w:rsidP="001E63E8">
      <w:pPr>
        <w:pStyle w:val="Doc-text2"/>
        <w:tabs>
          <w:tab w:val="left" w:pos="340"/>
        </w:tabs>
        <w:ind w:left="0" w:firstLine="0"/>
        <w:jc w:val="both"/>
        <w:rPr>
          <w:rFonts w:eastAsiaTheme="minorEastAsia"/>
          <w:b/>
        </w:rPr>
      </w:pPr>
      <w:r>
        <w:rPr>
          <w:rFonts w:eastAsiaTheme="minorEastAsia"/>
          <w:bCs/>
        </w:rPr>
        <w:t>From R2 perspective</w:t>
      </w:r>
      <w:r w:rsidR="00AB539A">
        <w:rPr>
          <w:rFonts w:eastAsiaTheme="minorEastAsia"/>
          <w:bCs/>
        </w:rPr>
        <w:t xml:space="preserve">, we </w:t>
      </w:r>
      <w:r>
        <w:rPr>
          <w:rFonts w:eastAsiaTheme="minorEastAsia"/>
          <w:bCs/>
        </w:rPr>
        <w:t xml:space="preserve">could observe that there is </w:t>
      </w:r>
      <w:r w:rsidR="00AB539A">
        <w:rPr>
          <w:rFonts w:eastAsiaTheme="minorEastAsia"/>
          <w:bCs/>
        </w:rPr>
        <w:t xml:space="preserve">independent measurement configuration for L3 HO, LTM, and BM. The independent measurement RS and reporting configuration makes the RRC signaling structure complicate and creates some duplication. </w:t>
      </w:r>
      <w:r>
        <w:rPr>
          <w:rFonts w:eastAsiaTheme="minorEastAsia"/>
          <w:bCs/>
        </w:rPr>
        <w:t xml:space="preserve">It also increases the UE power consumption and implementation complexity to measure multiple RS. To reduce the measurement effort, the same RS should be used for both beam management and </w:t>
      </w:r>
      <w:r>
        <w:rPr>
          <w:rFonts w:eastAsiaTheme="minorEastAsia"/>
          <w:bCs/>
        </w:rPr>
        <w:lastRenderedPageBreak/>
        <w:t xml:space="preserve">CONNECTED mode beam-level mobility. This could also help the network to reduce </w:t>
      </w:r>
      <w:r>
        <w:rPr>
          <w:rFonts w:cs="Arial"/>
        </w:rPr>
        <w:t>resource overhead.</w:t>
      </w:r>
      <w:r>
        <w:rPr>
          <w:rFonts w:eastAsiaTheme="minorEastAsia"/>
          <w:bCs/>
        </w:rPr>
        <w:t xml:space="preserve"> </w:t>
      </w:r>
      <w:r w:rsidR="009241C4">
        <w:rPr>
          <w:rFonts w:eastAsiaTheme="minorEastAsia"/>
          <w:bCs/>
        </w:rPr>
        <w:t xml:space="preserve">In 6G, RAN2 should aim to have a better measurement configuration </w:t>
      </w:r>
      <w:r>
        <w:rPr>
          <w:rFonts w:eastAsiaTheme="minorEastAsia"/>
          <w:bCs/>
        </w:rPr>
        <w:t>framework</w:t>
      </w:r>
      <w:r w:rsidR="009241C4">
        <w:rPr>
          <w:rFonts w:eastAsiaTheme="minorEastAsia"/>
          <w:bCs/>
        </w:rPr>
        <w:t xml:space="preserve"> that could be used for different purpose</w:t>
      </w:r>
      <w:r>
        <w:rPr>
          <w:rFonts w:eastAsiaTheme="minorEastAsia"/>
          <w:bCs/>
        </w:rPr>
        <w:t>s</w:t>
      </w:r>
      <w:r w:rsidR="009241C4">
        <w:rPr>
          <w:rFonts w:eastAsiaTheme="minorEastAsia"/>
          <w:bCs/>
        </w:rPr>
        <w:t xml:space="preserve"> (i.e. same configuration structure for both L1 and L3 measurement, for both BM and mobility purpose</w:t>
      </w:r>
      <w:r>
        <w:rPr>
          <w:rFonts w:eastAsiaTheme="minorEastAsia"/>
          <w:bCs/>
        </w:rPr>
        <w:t>, and for e</w:t>
      </w:r>
      <w:r w:rsidRPr="00C8421C">
        <w:rPr>
          <w:rFonts w:eastAsiaTheme="minorEastAsia"/>
          <w:bCs/>
        </w:rPr>
        <w:t>arly CSI acquisition</w:t>
      </w:r>
      <w:r w:rsidR="009241C4">
        <w:rPr>
          <w:rFonts w:eastAsiaTheme="minorEastAsia"/>
          <w:bCs/>
        </w:rPr>
        <w:t>).</w:t>
      </w:r>
    </w:p>
    <w:p w14:paraId="24CC90AA" w14:textId="77777777" w:rsidR="009241C4" w:rsidRDefault="009241C4" w:rsidP="001E63E8">
      <w:pPr>
        <w:pStyle w:val="Doc-text2"/>
        <w:tabs>
          <w:tab w:val="left" w:pos="340"/>
        </w:tabs>
        <w:ind w:left="0" w:firstLine="0"/>
        <w:jc w:val="both"/>
        <w:rPr>
          <w:rFonts w:eastAsiaTheme="minorEastAsia"/>
          <w:b/>
        </w:rPr>
      </w:pPr>
    </w:p>
    <w:p w14:paraId="4CA248FE" w14:textId="19BE3BCF" w:rsidR="00351D88" w:rsidRDefault="00351D88" w:rsidP="00351D88">
      <w:pPr>
        <w:pStyle w:val="Doc-text2"/>
        <w:tabs>
          <w:tab w:val="left" w:pos="340"/>
        </w:tabs>
        <w:ind w:left="0" w:firstLine="0"/>
        <w:jc w:val="both"/>
        <w:rPr>
          <w:rFonts w:cs="Arial"/>
          <w:b/>
          <w:szCs w:val="20"/>
        </w:rPr>
      </w:pPr>
      <w:r>
        <w:rPr>
          <w:rFonts w:cs="Arial"/>
          <w:b/>
          <w:szCs w:val="20"/>
        </w:rPr>
        <w:t xml:space="preserve">Proposal 1: RAN2 should aim to have a </w:t>
      </w:r>
      <w:r w:rsidR="009241C4">
        <w:rPr>
          <w:rFonts w:cs="Arial"/>
          <w:b/>
          <w:szCs w:val="20"/>
        </w:rPr>
        <w:t>u</w:t>
      </w:r>
      <w:r w:rsidR="009241C4" w:rsidRPr="009241C4">
        <w:rPr>
          <w:rFonts w:cs="Arial"/>
          <w:b/>
          <w:szCs w:val="20"/>
        </w:rPr>
        <w:t xml:space="preserve">nified measurement configuration for </w:t>
      </w:r>
      <w:r w:rsidR="009241C4">
        <w:rPr>
          <w:rFonts w:cs="Arial"/>
          <w:b/>
          <w:szCs w:val="20"/>
        </w:rPr>
        <w:t xml:space="preserve">the purposes of </w:t>
      </w:r>
      <w:r w:rsidR="009241C4">
        <w:rPr>
          <w:rFonts w:cs="Arial"/>
          <w:b/>
        </w:rPr>
        <w:t xml:space="preserve">CONNECTED mode mobility, beam management, and early CSI </w:t>
      </w:r>
      <w:r w:rsidR="009241C4" w:rsidRPr="009241C4">
        <w:rPr>
          <w:rFonts w:cs="Arial"/>
          <w:b/>
        </w:rPr>
        <w:t>acquisition</w:t>
      </w:r>
      <w:r w:rsidR="009241C4">
        <w:rPr>
          <w:rFonts w:cs="Arial"/>
          <w:b/>
        </w:rPr>
        <w:t xml:space="preserve">. RAN2 assumes that same RS could be used </w:t>
      </w:r>
      <w:r w:rsidR="0074532C">
        <w:rPr>
          <w:rFonts w:cs="Arial"/>
          <w:b/>
        </w:rPr>
        <w:t xml:space="preserve">for </w:t>
      </w:r>
      <w:r w:rsidR="009241C4">
        <w:rPr>
          <w:rFonts w:cs="Arial"/>
          <w:b/>
        </w:rPr>
        <w:t>these purposes.</w:t>
      </w:r>
    </w:p>
    <w:p w14:paraId="18C3C0E3" w14:textId="77777777" w:rsidR="00351D88" w:rsidRPr="00046784" w:rsidRDefault="00351D88" w:rsidP="001E63E8">
      <w:pPr>
        <w:pStyle w:val="Doc-text2"/>
        <w:tabs>
          <w:tab w:val="left" w:pos="340"/>
        </w:tabs>
        <w:ind w:left="0" w:firstLine="0"/>
        <w:jc w:val="both"/>
        <w:rPr>
          <w:rFonts w:eastAsiaTheme="minorEastAsia"/>
          <w:b/>
        </w:rPr>
      </w:pPr>
    </w:p>
    <w:p w14:paraId="07E94EBC" w14:textId="0131E61E" w:rsidR="00BE6C08" w:rsidRPr="00046784" w:rsidRDefault="00EF3893" w:rsidP="005E7565">
      <w:pPr>
        <w:pStyle w:val="Doc-text2"/>
        <w:tabs>
          <w:tab w:val="left" w:pos="340"/>
        </w:tabs>
        <w:ind w:left="0" w:firstLine="0"/>
        <w:jc w:val="both"/>
        <w:rPr>
          <w:rFonts w:eastAsiaTheme="minorEastAsia"/>
          <w:bCs/>
        </w:rPr>
      </w:pPr>
      <w:r>
        <w:rPr>
          <w:rFonts w:eastAsiaTheme="minorEastAsia"/>
          <w:bCs/>
        </w:rPr>
        <w:t>For 5G NR, t</w:t>
      </w:r>
      <w:r w:rsidR="003A3EA0" w:rsidRPr="00046784">
        <w:rPr>
          <w:rFonts w:eastAsiaTheme="minorEastAsia"/>
          <w:bCs/>
        </w:rPr>
        <w:t>he measurement model is defined in 38.300 as below.</w:t>
      </w:r>
      <w:r w:rsidR="006F23FA" w:rsidRPr="00046784">
        <w:rPr>
          <w:rFonts w:eastAsiaTheme="minorEastAsia"/>
          <w:bCs/>
        </w:rPr>
        <w:t xml:space="preserve"> </w:t>
      </w:r>
    </w:p>
    <w:p w14:paraId="2D7E6CF2" w14:textId="77777777" w:rsidR="005B56E3" w:rsidRPr="00046784" w:rsidRDefault="005B56E3" w:rsidP="005E7565">
      <w:pPr>
        <w:pStyle w:val="Doc-text2"/>
        <w:tabs>
          <w:tab w:val="left" w:pos="340"/>
        </w:tabs>
        <w:ind w:left="0" w:firstLine="0"/>
        <w:jc w:val="both"/>
        <w:rPr>
          <w:rFonts w:eastAsiaTheme="minorEastAsia"/>
          <w:b/>
        </w:rPr>
      </w:pPr>
    </w:p>
    <w:p w14:paraId="291602B2" w14:textId="25D5CDC5" w:rsidR="005B56E3" w:rsidRPr="00046784" w:rsidRDefault="004D5BD6" w:rsidP="005E7565">
      <w:pPr>
        <w:pStyle w:val="Doc-text2"/>
        <w:tabs>
          <w:tab w:val="left" w:pos="340"/>
        </w:tabs>
        <w:ind w:left="0" w:firstLine="0"/>
        <w:jc w:val="center"/>
        <w:rPr>
          <w:rFonts w:eastAsiaTheme="minorEastAsia"/>
          <w:b/>
        </w:rPr>
      </w:pPr>
      <w:r w:rsidRPr="00046784">
        <w:rPr>
          <w:rFonts w:eastAsiaTheme="minorEastAsia"/>
          <w:b/>
        </w:rPr>
        <w:object w:dxaOrig="11976" w:dyaOrig="5880" w14:anchorId="0700C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1.4pt" o:ole="">
            <v:imagedata r:id="rId8" o:title=""/>
          </v:shape>
          <o:OLEObject Type="Embed" ProgID="Visio.Drawing.11" ShapeID="_x0000_i1025" DrawAspect="Content" ObjectID="_1831287905" r:id="rId9"/>
        </w:object>
      </w:r>
    </w:p>
    <w:p w14:paraId="1BF974B5" w14:textId="74BFD108" w:rsidR="005B56E3" w:rsidRPr="00046784" w:rsidRDefault="005B56E3" w:rsidP="005E7565">
      <w:pPr>
        <w:pStyle w:val="Doc-text2"/>
        <w:tabs>
          <w:tab w:val="left" w:pos="340"/>
        </w:tabs>
        <w:ind w:left="0" w:firstLine="0"/>
        <w:jc w:val="center"/>
        <w:rPr>
          <w:rFonts w:eastAsiaTheme="minorEastAsia"/>
          <w:bCs/>
        </w:rPr>
      </w:pPr>
      <w:bookmarkStart w:id="5" w:name="OLE_LINK30"/>
      <w:r w:rsidRPr="00046784">
        <w:rPr>
          <w:rFonts w:eastAsiaTheme="minorEastAsia"/>
          <w:bCs/>
        </w:rPr>
        <w:t>Figure 1 – 5G Measurement Model from TS 38.300 Figure 9.2.4-1</w:t>
      </w:r>
    </w:p>
    <w:bookmarkEnd w:id="5"/>
    <w:p w14:paraId="04479B15" w14:textId="77777777" w:rsidR="005B56E3" w:rsidRPr="00046784" w:rsidRDefault="005B56E3" w:rsidP="005E7565">
      <w:pPr>
        <w:pStyle w:val="Doc-text2"/>
        <w:tabs>
          <w:tab w:val="left" w:pos="340"/>
        </w:tabs>
        <w:ind w:left="0" w:firstLine="0"/>
        <w:jc w:val="both"/>
        <w:rPr>
          <w:rFonts w:eastAsiaTheme="minorEastAsia"/>
          <w:b/>
        </w:rPr>
      </w:pPr>
    </w:p>
    <w:p w14:paraId="756B3A6E" w14:textId="77777777" w:rsidR="00E70F71" w:rsidRDefault="0095642B" w:rsidP="005E7565">
      <w:pPr>
        <w:pStyle w:val="Doc-text2"/>
        <w:tabs>
          <w:tab w:val="left" w:pos="340"/>
        </w:tabs>
        <w:ind w:left="0" w:firstLine="0"/>
        <w:jc w:val="both"/>
        <w:rPr>
          <w:rFonts w:eastAsiaTheme="minorEastAsia"/>
          <w:bCs/>
        </w:rPr>
      </w:pPr>
      <w:r w:rsidRPr="00046784">
        <w:rPr>
          <w:rFonts w:eastAsiaTheme="minorEastAsia"/>
          <w:bCs/>
        </w:rPr>
        <w:t xml:space="preserve">The measurement model is suitable for legacy </w:t>
      </w:r>
      <w:r w:rsidR="00046C1A" w:rsidRPr="00046784">
        <w:rPr>
          <w:rFonts w:eastAsiaTheme="minorEastAsia"/>
          <w:bCs/>
        </w:rPr>
        <w:t xml:space="preserve">L3 </w:t>
      </w:r>
      <w:r w:rsidRPr="00046784">
        <w:rPr>
          <w:rFonts w:eastAsiaTheme="minorEastAsia"/>
          <w:bCs/>
        </w:rPr>
        <w:t>handover defined in Rel-15. However, with the introduction of</w:t>
      </w:r>
      <w:r w:rsidR="0097220A" w:rsidRPr="00046784">
        <w:rPr>
          <w:rFonts w:eastAsiaTheme="minorEastAsia"/>
          <w:bCs/>
        </w:rPr>
        <w:t xml:space="preserve"> inter-cell beam management (ICBM) and</w:t>
      </w:r>
      <w:r w:rsidRPr="00046784">
        <w:rPr>
          <w:rFonts w:eastAsiaTheme="minorEastAsia"/>
          <w:bCs/>
        </w:rPr>
        <w:t xml:space="preserve"> LTM</w:t>
      </w:r>
      <w:r w:rsidR="00046C1A" w:rsidRPr="00046784">
        <w:rPr>
          <w:rFonts w:eastAsiaTheme="minorEastAsia"/>
          <w:bCs/>
        </w:rPr>
        <w:t xml:space="preserve">, the boundary between beam-based and cell-based mobility becomes indistinct. </w:t>
      </w:r>
      <w:r w:rsidR="0097220A" w:rsidRPr="00046784">
        <w:rPr>
          <w:rFonts w:eastAsiaTheme="minorEastAsia"/>
          <w:bCs/>
        </w:rPr>
        <w:t>Since the UE ultimately chooses the best beam for data transmission, it is unclear whether a cell-level result is still necessary. In 6G, we expect UE just report the measurement result per RS only</w:t>
      </w:r>
      <w:r w:rsidR="005874ED" w:rsidRPr="00046784">
        <w:rPr>
          <w:rFonts w:eastAsiaTheme="minorEastAsia"/>
          <w:bCs/>
        </w:rPr>
        <w:t>.</w:t>
      </w:r>
      <w:r w:rsidR="00FE0604">
        <w:rPr>
          <w:rFonts w:eastAsiaTheme="minorEastAsia"/>
          <w:bCs/>
        </w:rPr>
        <w:t xml:space="preserve"> </w:t>
      </w:r>
    </w:p>
    <w:p w14:paraId="72E0D948" w14:textId="77777777" w:rsidR="00E70F71" w:rsidRDefault="00E70F71" w:rsidP="005E7565">
      <w:pPr>
        <w:pStyle w:val="Doc-text2"/>
        <w:tabs>
          <w:tab w:val="left" w:pos="340"/>
        </w:tabs>
        <w:ind w:left="0" w:firstLine="0"/>
        <w:jc w:val="both"/>
        <w:rPr>
          <w:rFonts w:eastAsiaTheme="minorEastAsia"/>
          <w:bCs/>
        </w:rPr>
      </w:pPr>
    </w:p>
    <w:p w14:paraId="558B5A47" w14:textId="454998F5" w:rsidR="00FE0604" w:rsidRDefault="00FE0604" w:rsidP="005E7565">
      <w:pPr>
        <w:pStyle w:val="Doc-text2"/>
        <w:tabs>
          <w:tab w:val="left" w:pos="340"/>
        </w:tabs>
        <w:ind w:left="0" w:firstLine="0"/>
        <w:jc w:val="both"/>
        <w:rPr>
          <w:rFonts w:eastAsiaTheme="minorEastAsia"/>
          <w:bCs/>
        </w:rPr>
      </w:pPr>
      <w:r>
        <w:rPr>
          <w:rFonts w:eastAsiaTheme="minorEastAsia"/>
          <w:bCs/>
        </w:rPr>
        <w:t xml:space="preserve">Since the introduction of LTM, the terminology “L1 measurement” and “L3 measurement” are widely used during the discussion. For the same beam, both L1 and L3 measurement refer to the same RS but with different requirement (i.e., L1 RSRP has </w:t>
      </w:r>
      <w:bookmarkStart w:id="6" w:name="OLE_LINK31"/>
      <w:r>
        <w:rPr>
          <w:rFonts w:eastAsiaTheme="minorEastAsia"/>
          <w:bCs/>
        </w:rPr>
        <w:t>a higher synchronization requirement</w:t>
      </w:r>
      <w:bookmarkEnd w:id="6"/>
      <w:r>
        <w:rPr>
          <w:rFonts w:eastAsiaTheme="minorEastAsia"/>
          <w:bCs/>
        </w:rPr>
        <w:t xml:space="preserve">). This is quite confusing and complicated. We prefer not </w:t>
      </w:r>
      <w:r w:rsidR="0062141C">
        <w:rPr>
          <w:rFonts w:eastAsiaTheme="minorEastAsia"/>
          <w:bCs/>
        </w:rPr>
        <w:t xml:space="preserve">to </w:t>
      </w:r>
      <w:r>
        <w:rPr>
          <w:rFonts w:eastAsiaTheme="minorEastAsia"/>
          <w:bCs/>
        </w:rPr>
        <w:t xml:space="preserve">have this kind of definition in 6G. The requirement of measurement </w:t>
      </w:r>
      <w:r w:rsidR="0062141C">
        <w:rPr>
          <w:rFonts w:eastAsiaTheme="minorEastAsia"/>
          <w:bCs/>
        </w:rPr>
        <w:t xml:space="preserve">results </w:t>
      </w:r>
      <w:r>
        <w:rPr>
          <w:rFonts w:eastAsiaTheme="minorEastAsia"/>
          <w:bCs/>
        </w:rPr>
        <w:t>should not be based on where the UE reports th</w:t>
      </w:r>
      <w:r w:rsidR="0062141C">
        <w:rPr>
          <w:rFonts w:eastAsiaTheme="minorEastAsia"/>
          <w:bCs/>
        </w:rPr>
        <w:t>ese</w:t>
      </w:r>
      <w:r>
        <w:rPr>
          <w:rFonts w:eastAsiaTheme="minorEastAsia"/>
          <w:bCs/>
        </w:rPr>
        <w:t xml:space="preserve"> result</w:t>
      </w:r>
      <w:r w:rsidR="0062141C">
        <w:rPr>
          <w:rFonts w:eastAsiaTheme="minorEastAsia"/>
          <w:bCs/>
        </w:rPr>
        <w:t>s</w:t>
      </w:r>
      <w:r>
        <w:rPr>
          <w:rFonts w:eastAsiaTheme="minorEastAsia"/>
          <w:bCs/>
        </w:rPr>
        <w:t>.</w:t>
      </w:r>
    </w:p>
    <w:p w14:paraId="4383982A" w14:textId="77777777" w:rsidR="00135E9E" w:rsidRPr="00135E9E" w:rsidRDefault="00135E9E" w:rsidP="005E7565">
      <w:pPr>
        <w:pStyle w:val="Doc-text2"/>
        <w:tabs>
          <w:tab w:val="left" w:pos="340"/>
        </w:tabs>
        <w:ind w:left="0" w:firstLine="0"/>
        <w:jc w:val="both"/>
        <w:rPr>
          <w:rFonts w:eastAsiaTheme="minorEastAsia"/>
          <w:bCs/>
          <w:color w:val="0070C0"/>
        </w:rPr>
      </w:pPr>
    </w:p>
    <w:p w14:paraId="34E7A390" w14:textId="163B5177" w:rsidR="00025E82" w:rsidRPr="00135E9E" w:rsidRDefault="00025E82" w:rsidP="00202D5C">
      <w:pPr>
        <w:pStyle w:val="Doc-text2"/>
        <w:tabs>
          <w:tab w:val="left" w:pos="340"/>
        </w:tabs>
        <w:ind w:left="0" w:firstLine="0"/>
        <w:jc w:val="both"/>
        <w:rPr>
          <w:rFonts w:eastAsiaTheme="minorEastAsia"/>
          <w:b/>
          <w:color w:val="0070C0"/>
        </w:rPr>
      </w:pPr>
      <w:r w:rsidRPr="00135E9E">
        <w:rPr>
          <w:rFonts w:eastAsiaTheme="minorEastAsia"/>
          <w:b/>
        </w:rPr>
        <w:t>Observation</w:t>
      </w:r>
      <w:r w:rsidR="00351D88">
        <w:rPr>
          <w:rFonts w:eastAsiaTheme="minorEastAsia"/>
          <w:b/>
        </w:rPr>
        <w:t xml:space="preserve"> 2</w:t>
      </w:r>
      <w:r w:rsidRPr="00135E9E">
        <w:rPr>
          <w:rFonts w:eastAsiaTheme="minorEastAsia"/>
          <w:b/>
        </w:rPr>
        <w:t xml:space="preserve">: </w:t>
      </w:r>
      <w:r w:rsidR="00351D88">
        <w:rPr>
          <w:rFonts w:eastAsiaTheme="minorEastAsia"/>
          <w:b/>
        </w:rPr>
        <w:t>In NR, the</w:t>
      </w:r>
      <w:r w:rsidR="00573E4E">
        <w:rPr>
          <w:rFonts w:eastAsiaTheme="minorEastAsia"/>
          <w:b/>
        </w:rPr>
        <w:t xml:space="preserve"> </w:t>
      </w:r>
      <w:r w:rsidR="00280C0C" w:rsidRPr="00280C0C">
        <w:rPr>
          <w:rFonts w:eastAsiaTheme="minorEastAsia"/>
          <w:b/>
        </w:rPr>
        <w:t>measurement</w:t>
      </w:r>
      <w:r w:rsidRPr="00135E9E">
        <w:rPr>
          <w:rFonts w:eastAsiaTheme="minorEastAsia"/>
          <w:b/>
        </w:rPr>
        <w:t xml:space="preserve"> requirement </w:t>
      </w:r>
      <w:r w:rsidR="00351D88">
        <w:rPr>
          <w:rFonts w:eastAsiaTheme="minorEastAsia"/>
          <w:b/>
        </w:rPr>
        <w:t>is coupled with</w:t>
      </w:r>
      <w:r w:rsidRPr="00135E9E">
        <w:rPr>
          <w:rFonts w:eastAsiaTheme="minorEastAsia"/>
          <w:b/>
        </w:rPr>
        <w:t xml:space="preserve"> </w:t>
      </w:r>
      <w:r w:rsidR="00D131E4">
        <w:rPr>
          <w:rFonts w:eastAsiaTheme="minorEastAsia"/>
          <w:b/>
        </w:rPr>
        <w:t xml:space="preserve">the </w:t>
      </w:r>
      <w:r w:rsidRPr="00135E9E">
        <w:rPr>
          <w:rFonts w:eastAsiaTheme="minorEastAsia"/>
          <w:b/>
        </w:rPr>
        <w:t>report container</w:t>
      </w:r>
      <w:r w:rsidR="00351D88">
        <w:rPr>
          <w:rFonts w:eastAsiaTheme="minorEastAsia"/>
          <w:b/>
        </w:rPr>
        <w:t xml:space="preserve"> (i.e. where to report the measurement result)</w:t>
      </w:r>
      <w:r w:rsidRPr="00135E9E">
        <w:rPr>
          <w:rFonts w:eastAsiaTheme="minorEastAsia"/>
          <w:b/>
        </w:rPr>
        <w:t>.</w:t>
      </w:r>
    </w:p>
    <w:p w14:paraId="3F2605CE" w14:textId="77777777" w:rsidR="00025E82" w:rsidRDefault="00025E82" w:rsidP="00202D5C">
      <w:pPr>
        <w:pStyle w:val="Doc-text2"/>
        <w:tabs>
          <w:tab w:val="left" w:pos="340"/>
        </w:tabs>
        <w:ind w:left="0" w:firstLine="0"/>
        <w:jc w:val="both"/>
        <w:rPr>
          <w:rFonts w:eastAsiaTheme="minorEastAsia"/>
          <w:bCs/>
        </w:rPr>
      </w:pPr>
    </w:p>
    <w:p w14:paraId="785852A7" w14:textId="72EB8602" w:rsidR="00D4385B" w:rsidRDefault="00FE0604" w:rsidP="00D4385B">
      <w:pPr>
        <w:pStyle w:val="Doc-text2"/>
        <w:tabs>
          <w:tab w:val="left" w:pos="340"/>
        </w:tabs>
        <w:ind w:left="0" w:firstLine="0"/>
        <w:jc w:val="both"/>
        <w:rPr>
          <w:rFonts w:eastAsiaTheme="minorEastAsia"/>
          <w:bCs/>
        </w:rPr>
      </w:pPr>
      <w:r>
        <w:rPr>
          <w:rFonts w:eastAsiaTheme="minorEastAsia"/>
          <w:bCs/>
        </w:rPr>
        <w:t>Measurement reporting is duplicated today in mobility and BM. In NR, SSB-based RSRP measurement result could be reported 1) in L1 via UCI</w:t>
      </w:r>
      <w:r w:rsidR="00B17FE0">
        <w:rPr>
          <w:rFonts w:eastAsiaTheme="minorEastAsia"/>
          <w:bCs/>
        </w:rPr>
        <w:t xml:space="preserve"> / </w:t>
      </w:r>
      <w:r>
        <w:rPr>
          <w:rFonts w:eastAsiaTheme="minorEastAsia"/>
          <w:bCs/>
        </w:rPr>
        <w:t xml:space="preserve">PUCCH, 2) in MAC-CE for LTM measurement event, and 3) in legacy RRC measurement report message. </w:t>
      </w:r>
      <w:r w:rsidR="00106EC5">
        <w:rPr>
          <w:rFonts w:eastAsiaTheme="minorEastAsia"/>
          <w:bCs/>
        </w:rPr>
        <w:t>Unified measurement report in single place (e.g. MAC-CE or RRC) is preferred in 6G.</w:t>
      </w:r>
      <w:r w:rsidR="00A3387F">
        <w:rPr>
          <w:rFonts w:eastAsiaTheme="minorEastAsia"/>
          <w:bCs/>
        </w:rPr>
        <w:t xml:space="preserve"> W</w:t>
      </w:r>
      <w:r w:rsidR="00D4385B">
        <w:rPr>
          <w:rFonts w:eastAsiaTheme="minorEastAsia"/>
          <w:bCs/>
        </w:rPr>
        <w:t xml:space="preserve">e recommend a single, unified </w:t>
      </w:r>
      <w:r w:rsidR="00477B23">
        <w:rPr>
          <w:rFonts w:eastAsiaTheme="minorEastAsia"/>
          <w:bCs/>
        </w:rPr>
        <w:t>measurement framework</w:t>
      </w:r>
      <w:r w:rsidR="00D4385B">
        <w:rPr>
          <w:rFonts w:eastAsiaTheme="minorEastAsia"/>
          <w:bCs/>
        </w:rPr>
        <w:t xml:space="preserve"> that covers both beam-level and cell-level mobility to reduce SPEC complexity and implementation effort.</w:t>
      </w:r>
    </w:p>
    <w:p w14:paraId="34511028" w14:textId="77777777" w:rsidR="006F23FA" w:rsidRPr="00046784" w:rsidRDefault="006F23FA" w:rsidP="005E7565">
      <w:pPr>
        <w:pStyle w:val="Doc-text2"/>
        <w:tabs>
          <w:tab w:val="left" w:pos="340"/>
        </w:tabs>
        <w:ind w:left="0" w:firstLine="0"/>
        <w:jc w:val="both"/>
        <w:rPr>
          <w:rFonts w:eastAsiaTheme="minorEastAsia"/>
          <w:b/>
        </w:rPr>
      </w:pPr>
    </w:p>
    <w:p w14:paraId="361BF1A2" w14:textId="6509D670" w:rsidR="003E6FE7" w:rsidRDefault="00DF6795" w:rsidP="00A3387F">
      <w:pPr>
        <w:pStyle w:val="Doc-text2"/>
        <w:tabs>
          <w:tab w:val="left" w:pos="340"/>
        </w:tabs>
        <w:ind w:left="0" w:firstLine="0"/>
        <w:jc w:val="both"/>
        <w:rPr>
          <w:rFonts w:cs="Arial"/>
          <w:b/>
          <w:szCs w:val="20"/>
        </w:rPr>
      </w:pPr>
      <w:bookmarkStart w:id="7" w:name="OLE_LINK2"/>
      <w:bookmarkStart w:id="8" w:name="OLE_LINK5"/>
      <w:r w:rsidRPr="00046784">
        <w:rPr>
          <w:rFonts w:cs="Arial"/>
          <w:b/>
          <w:szCs w:val="20"/>
        </w:rPr>
        <w:t xml:space="preserve">Proposal </w:t>
      </w:r>
      <w:r w:rsidR="003E6FE7">
        <w:rPr>
          <w:rFonts w:cs="Arial"/>
          <w:b/>
          <w:szCs w:val="20"/>
        </w:rPr>
        <w:t>2</w:t>
      </w:r>
      <w:r w:rsidRPr="00046784">
        <w:rPr>
          <w:rFonts w:cs="Arial"/>
          <w:b/>
          <w:szCs w:val="20"/>
        </w:rPr>
        <w:t xml:space="preserve">: </w:t>
      </w:r>
      <w:bookmarkEnd w:id="7"/>
      <w:r w:rsidR="00067C11" w:rsidRPr="00046784">
        <w:rPr>
          <w:rFonts w:cs="Arial"/>
          <w:b/>
          <w:szCs w:val="20"/>
        </w:rPr>
        <w:t xml:space="preserve">RAN2 should aim to have a </w:t>
      </w:r>
      <w:r w:rsidR="003E6FE7">
        <w:rPr>
          <w:rFonts w:cs="Arial"/>
          <w:b/>
        </w:rPr>
        <w:t>unified measurement reporting</w:t>
      </w:r>
      <w:r w:rsidR="00363479" w:rsidRPr="00046784">
        <w:rPr>
          <w:rFonts w:cs="Arial"/>
          <w:b/>
          <w:szCs w:val="20"/>
        </w:rPr>
        <w:t xml:space="preserve"> </w:t>
      </w:r>
      <w:bookmarkEnd w:id="8"/>
      <w:r w:rsidR="003E6FE7">
        <w:rPr>
          <w:rFonts w:cs="Arial"/>
          <w:b/>
        </w:rPr>
        <w:t>for the purposes of CONNECTED mode mobility</w:t>
      </w:r>
      <w:r w:rsidR="00A670D2">
        <w:rPr>
          <w:rFonts w:cs="Arial"/>
          <w:b/>
        </w:rPr>
        <w:t xml:space="preserve"> and</w:t>
      </w:r>
      <w:r w:rsidR="003E6FE7">
        <w:rPr>
          <w:rFonts w:cs="Arial"/>
          <w:b/>
        </w:rPr>
        <w:t xml:space="preserve"> beam management</w:t>
      </w:r>
      <w:r w:rsidR="00067C11" w:rsidRPr="00046784">
        <w:rPr>
          <w:rFonts w:cs="Arial"/>
          <w:b/>
          <w:szCs w:val="20"/>
        </w:rPr>
        <w:t>.</w:t>
      </w:r>
      <w:r w:rsidR="003E6FE7">
        <w:rPr>
          <w:rFonts w:cs="Arial"/>
          <w:b/>
          <w:szCs w:val="20"/>
        </w:rPr>
        <w:t xml:space="preserve"> </w:t>
      </w:r>
      <w:r w:rsidR="00A3387F">
        <w:rPr>
          <w:rFonts w:cs="Arial"/>
          <w:b/>
          <w:szCs w:val="20"/>
        </w:rPr>
        <w:t xml:space="preserve">FFS the report is in RRC or MAC-CE. </w:t>
      </w:r>
    </w:p>
    <w:p w14:paraId="28D77D6F" w14:textId="77777777" w:rsidR="003853B6" w:rsidRDefault="003853B6" w:rsidP="005E7565">
      <w:pPr>
        <w:pStyle w:val="Doc-text2"/>
        <w:tabs>
          <w:tab w:val="left" w:pos="340"/>
        </w:tabs>
        <w:ind w:left="0" w:firstLine="0"/>
        <w:jc w:val="both"/>
        <w:rPr>
          <w:rFonts w:eastAsiaTheme="minorEastAsia"/>
          <w:bCs/>
        </w:rPr>
      </w:pPr>
    </w:p>
    <w:p w14:paraId="710C7AC5" w14:textId="2CF16382" w:rsidR="00D5201F" w:rsidRDefault="00AD2295" w:rsidP="005E7565">
      <w:pPr>
        <w:pStyle w:val="Doc-text2"/>
        <w:tabs>
          <w:tab w:val="left" w:pos="340"/>
        </w:tabs>
        <w:ind w:left="0" w:firstLine="0"/>
        <w:jc w:val="both"/>
        <w:rPr>
          <w:rFonts w:eastAsiaTheme="minorEastAsia"/>
          <w:bCs/>
        </w:rPr>
      </w:pPr>
      <w:r w:rsidRPr="00046784">
        <w:rPr>
          <w:rFonts w:eastAsiaTheme="minorEastAsia"/>
          <w:bCs/>
        </w:rPr>
        <w:t>W</w:t>
      </w:r>
      <w:r w:rsidR="0028502F" w:rsidRPr="00046784">
        <w:rPr>
          <w:rFonts w:eastAsiaTheme="minorEastAsia"/>
          <w:bCs/>
        </w:rPr>
        <w:t xml:space="preserve">e </w:t>
      </w:r>
      <w:r w:rsidRPr="00046784">
        <w:rPr>
          <w:rFonts w:eastAsiaTheme="minorEastAsia"/>
          <w:bCs/>
        </w:rPr>
        <w:t xml:space="preserve">expect </w:t>
      </w:r>
      <w:r w:rsidR="00A26857" w:rsidRPr="00046784">
        <w:rPr>
          <w:rFonts w:eastAsiaTheme="minorEastAsia"/>
          <w:bCs/>
        </w:rPr>
        <w:t xml:space="preserve">to have a simplified measurement model for 6G as </w:t>
      </w:r>
      <w:r w:rsidR="00A672B8">
        <w:rPr>
          <w:rFonts w:eastAsiaTheme="minorEastAsia"/>
          <w:bCs/>
        </w:rPr>
        <w:t xml:space="preserve">in </w:t>
      </w:r>
      <w:r w:rsidR="00247AE4">
        <w:rPr>
          <w:rFonts w:eastAsiaTheme="minorEastAsia"/>
          <w:bCs/>
        </w:rPr>
        <w:t>Figure 2</w:t>
      </w:r>
      <w:r w:rsidR="00A26857" w:rsidRPr="00046784">
        <w:rPr>
          <w:rFonts w:eastAsiaTheme="minorEastAsia"/>
          <w:bCs/>
        </w:rPr>
        <w:t>. The UE reports measurement result</w:t>
      </w:r>
      <w:r w:rsidR="003664E7" w:rsidRPr="00046784">
        <w:rPr>
          <w:rFonts w:eastAsiaTheme="minorEastAsia"/>
          <w:bCs/>
        </w:rPr>
        <w:t>s</w:t>
      </w:r>
      <w:r w:rsidR="00B101C2" w:rsidRPr="00046784">
        <w:rPr>
          <w:rFonts w:eastAsiaTheme="minorEastAsia"/>
          <w:bCs/>
        </w:rPr>
        <w:t xml:space="preserve"> per RS</w:t>
      </w:r>
      <w:r w:rsidR="00A26857" w:rsidRPr="00046784">
        <w:rPr>
          <w:rFonts w:eastAsiaTheme="minorEastAsia"/>
          <w:bCs/>
        </w:rPr>
        <w:t xml:space="preserve">. </w:t>
      </w:r>
      <w:r w:rsidR="00B101C2" w:rsidRPr="00046784">
        <w:rPr>
          <w:rFonts w:eastAsiaTheme="minorEastAsia"/>
          <w:bCs/>
        </w:rPr>
        <w:t>The measurement process includes a</w:t>
      </w:r>
      <w:r w:rsidR="00A26857" w:rsidRPr="00046784">
        <w:rPr>
          <w:rFonts w:eastAsiaTheme="minorEastAsia"/>
          <w:bCs/>
        </w:rPr>
        <w:t xml:space="preserve"> UE</w:t>
      </w:r>
      <w:r w:rsidR="00B101C2" w:rsidRPr="00046784">
        <w:rPr>
          <w:rFonts w:eastAsiaTheme="minorEastAsia"/>
          <w:bCs/>
        </w:rPr>
        <w:t>-side</w:t>
      </w:r>
      <w:r w:rsidR="00A26857" w:rsidRPr="00046784">
        <w:rPr>
          <w:rFonts w:eastAsiaTheme="minorEastAsia"/>
          <w:bCs/>
        </w:rPr>
        <w:t xml:space="preserve"> filter (similar to L1 filter) and NW-configured filter</w:t>
      </w:r>
      <w:r w:rsidRPr="00046784">
        <w:rPr>
          <w:rFonts w:eastAsiaTheme="minorEastAsia"/>
          <w:bCs/>
        </w:rPr>
        <w:t xml:space="preserve"> (similar to L3 filter). The network also configures the triggering condition to send measurement report or the execution condition (like CHO) to trigger different procedure. There is no need to report measurement report for </w:t>
      </w:r>
      <w:r w:rsidR="003664E7" w:rsidRPr="00046784">
        <w:rPr>
          <w:rFonts w:eastAsiaTheme="minorEastAsia"/>
          <w:bCs/>
        </w:rPr>
        <w:t xml:space="preserve">the </w:t>
      </w:r>
      <w:r w:rsidRPr="00046784">
        <w:rPr>
          <w:rFonts w:eastAsiaTheme="minorEastAsia"/>
          <w:bCs/>
        </w:rPr>
        <w:t>same RS in different</w:t>
      </w:r>
      <w:r w:rsidR="00C14F87" w:rsidRPr="00046784">
        <w:rPr>
          <w:rFonts w:eastAsiaTheme="minorEastAsia"/>
          <w:bCs/>
        </w:rPr>
        <w:t xml:space="preserve"> ways (e.g., different report containers in BM/Mobility procedures)</w:t>
      </w:r>
      <w:r w:rsidRPr="00046784">
        <w:rPr>
          <w:rFonts w:eastAsiaTheme="minorEastAsia"/>
          <w:bCs/>
        </w:rPr>
        <w:t>.</w:t>
      </w:r>
      <w:r w:rsidR="00C14F87" w:rsidRPr="00046784">
        <w:t xml:space="preserve"> </w:t>
      </w:r>
      <w:r w:rsidR="00C14F87" w:rsidRPr="00046784">
        <w:rPr>
          <w:rFonts w:eastAsiaTheme="minorEastAsia"/>
          <w:bCs/>
        </w:rPr>
        <w:t>The difference on how well the UE has synchronized to the RS can be reported explicitly. E.g., sync status indication can be included in the measurement report.</w:t>
      </w:r>
    </w:p>
    <w:p w14:paraId="1A9472DE" w14:textId="77777777" w:rsidR="00146DDB" w:rsidRPr="00046784" w:rsidRDefault="00146DDB" w:rsidP="005E7565">
      <w:pPr>
        <w:pStyle w:val="Doc-text2"/>
        <w:tabs>
          <w:tab w:val="left" w:pos="340"/>
        </w:tabs>
        <w:ind w:left="0" w:firstLine="0"/>
        <w:jc w:val="both"/>
        <w:rPr>
          <w:rFonts w:eastAsiaTheme="minorEastAsia"/>
          <w:bCs/>
        </w:rPr>
      </w:pPr>
    </w:p>
    <w:p w14:paraId="7B55B606" w14:textId="2A076050" w:rsidR="0028502F" w:rsidRPr="00046784" w:rsidRDefault="002032B2" w:rsidP="0028502F">
      <w:pPr>
        <w:pStyle w:val="Doc-text2"/>
        <w:tabs>
          <w:tab w:val="left" w:pos="340"/>
        </w:tabs>
        <w:ind w:left="0" w:firstLine="0"/>
        <w:jc w:val="center"/>
        <w:rPr>
          <w:rFonts w:eastAsiaTheme="minorEastAsia"/>
          <w:b/>
        </w:rPr>
      </w:pPr>
      <w:r w:rsidRPr="00046784">
        <w:rPr>
          <w:rFonts w:eastAsiaTheme="minorEastAsia"/>
          <w:b/>
          <w:noProof/>
        </w:rPr>
        <w:lastRenderedPageBreak/>
        <w:drawing>
          <wp:inline distT="0" distB="0" distL="0" distR="0" wp14:anchorId="7FA6D8B9" wp14:editId="7D8C2990">
            <wp:extent cx="4589358" cy="2081316"/>
            <wp:effectExtent l="0" t="0" r="190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4306" cy="2092630"/>
                    </a:xfrm>
                    <a:prstGeom prst="rect">
                      <a:avLst/>
                    </a:prstGeom>
                    <a:noFill/>
                  </pic:spPr>
                </pic:pic>
              </a:graphicData>
            </a:graphic>
          </wp:inline>
        </w:drawing>
      </w:r>
    </w:p>
    <w:p w14:paraId="645273AA" w14:textId="6E268229" w:rsidR="0028502F" w:rsidRPr="00046784" w:rsidRDefault="0028502F" w:rsidP="0028502F">
      <w:pPr>
        <w:pStyle w:val="Doc-text2"/>
        <w:tabs>
          <w:tab w:val="left" w:pos="340"/>
        </w:tabs>
        <w:ind w:left="0" w:firstLine="0"/>
        <w:jc w:val="center"/>
        <w:rPr>
          <w:rFonts w:eastAsiaTheme="minorEastAsia"/>
          <w:b/>
        </w:rPr>
      </w:pPr>
    </w:p>
    <w:p w14:paraId="55DDC1DD" w14:textId="0DC4B041" w:rsidR="00B812EB" w:rsidRPr="00046784" w:rsidRDefault="0028502F" w:rsidP="00B812EB">
      <w:pPr>
        <w:pStyle w:val="Doc-text2"/>
        <w:tabs>
          <w:tab w:val="left" w:pos="340"/>
        </w:tabs>
        <w:ind w:left="0" w:firstLine="0"/>
        <w:jc w:val="center"/>
        <w:rPr>
          <w:rFonts w:eastAsiaTheme="minorEastAsia"/>
          <w:bCs/>
        </w:rPr>
      </w:pPr>
      <w:r w:rsidRPr="00046784">
        <w:rPr>
          <w:rFonts w:eastAsiaTheme="minorEastAsia"/>
          <w:bCs/>
        </w:rPr>
        <w:t xml:space="preserve">Figure 2 – </w:t>
      </w:r>
      <w:r w:rsidR="00A06073" w:rsidRPr="00A06073">
        <w:rPr>
          <w:rFonts w:eastAsiaTheme="minorEastAsia"/>
          <w:bCs/>
        </w:rPr>
        <w:t xml:space="preserve">6G </w:t>
      </w:r>
      <w:r w:rsidR="00195E81">
        <w:rPr>
          <w:rFonts w:eastAsiaTheme="minorEastAsia"/>
          <w:bCs/>
        </w:rPr>
        <w:t>M</w:t>
      </w:r>
      <w:r w:rsidR="00A06073" w:rsidRPr="00A06073">
        <w:rPr>
          <w:rFonts w:eastAsiaTheme="minorEastAsia"/>
          <w:bCs/>
        </w:rPr>
        <w:t xml:space="preserve">easurement </w:t>
      </w:r>
      <w:r w:rsidR="00195E81">
        <w:rPr>
          <w:rFonts w:eastAsiaTheme="minorEastAsia"/>
          <w:bCs/>
        </w:rPr>
        <w:t>M</w:t>
      </w:r>
      <w:r w:rsidR="00A06073" w:rsidRPr="00A06073">
        <w:rPr>
          <w:rFonts w:eastAsiaTheme="minorEastAsia"/>
          <w:bCs/>
        </w:rPr>
        <w:t>odel</w:t>
      </w:r>
    </w:p>
    <w:p w14:paraId="0F9CB283" w14:textId="3467714C" w:rsidR="00804386" w:rsidRDefault="00804386" w:rsidP="00804386">
      <w:pPr>
        <w:pStyle w:val="Heading2"/>
        <w:rPr>
          <w:lang w:val="en-US" w:eastAsia="ko-KR"/>
        </w:rPr>
      </w:pPr>
      <w:r>
        <w:rPr>
          <w:lang w:val="en-US" w:eastAsia="ko-KR"/>
        </w:rPr>
        <w:t>2.2 Measurement gap</w:t>
      </w:r>
    </w:p>
    <w:p w14:paraId="48924997" w14:textId="32B5AFFE" w:rsidR="00593588" w:rsidRDefault="00FD5669" w:rsidP="000D5570">
      <w:pPr>
        <w:pStyle w:val="Doc-text2"/>
        <w:tabs>
          <w:tab w:val="left" w:pos="340"/>
        </w:tabs>
        <w:ind w:left="0" w:firstLine="0"/>
        <w:jc w:val="both"/>
        <w:rPr>
          <w:rFonts w:eastAsiaTheme="minorEastAsia"/>
          <w:bCs/>
        </w:rPr>
      </w:pPr>
      <w:r>
        <w:rPr>
          <w:rFonts w:eastAsiaTheme="minorEastAsia"/>
          <w:bCs/>
        </w:rPr>
        <w:t>Measurement gap</w:t>
      </w:r>
      <w:r w:rsidR="00CF3531">
        <w:rPr>
          <w:rFonts w:eastAsiaTheme="minorEastAsia"/>
          <w:bCs/>
        </w:rPr>
        <w:t xml:space="preserve"> (MG)</w:t>
      </w:r>
      <w:r>
        <w:rPr>
          <w:rFonts w:eastAsiaTheme="minorEastAsia"/>
          <w:bCs/>
        </w:rPr>
        <w:t xml:space="preserve"> is considered one of the main topics </w:t>
      </w:r>
      <w:r w:rsidR="00016F0D">
        <w:rPr>
          <w:rFonts w:eastAsiaTheme="minorEastAsia"/>
          <w:bCs/>
        </w:rPr>
        <w:t>in</w:t>
      </w:r>
      <w:r>
        <w:rPr>
          <w:rFonts w:eastAsiaTheme="minorEastAsia"/>
          <w:bCs/>
        </w:rPr>
        <w:t xml:space="preserve"> RAN4, but it also closely related to many RAN2 </w:t>
      </w:r>
      <w:r w:rsidR="00016F0D">
        <w:rPr>
          <w:rFonts w:eastAsiaTheme="minorEastAsia"/>
          <w:bCs/>
        </w:rPr>
        <w:t>aspects</w:t>
      </w:r>
      <w:r w:rsidR="00593588">
        <w:rPr>
          <w:rFonts w:eastAsiaTheme="minorEastAsia"/>
          <w:bCs/>
        </w:rPr>
        <w:t>,</w:t>
      </w:r>
      <w:r>
        <w:rPr>
          <w:rFonts w:eastAsiaTheme="minorEastAsia"/>
          <w:bCs/>
        </w:rPr>
        <w:t xml:space="preserve"> for example, measurement framework and mobility. Moreover, in most cases, new measurement gap features still require corresponding designs from RAN2, such as related procedures and signalling design. In 6G, it is expected that many new features </w:t>
      </w:r>
      <w:r w:rsidR="006E5E37">
        <w:rPr>
          <w:rFonts w:eastAsiaTheme="minorEastAsia"/>
          <w:bCs/>
        </w:rPr>
        <w:t xml:space="preserve">for </w:t>
      </w:r>
      <w:r w:rsidR="006E5E37" w:rsidRPr="006E5E37">
        <w:rPr>
          <w:rFonts w:eastAsiaTheme="minorEastAsia"/>
          <w:bCs/>
          <w:lang w:val="en-GB"/>
        </w:rPr>
        <w:t xml:space="preserve">measurement gap </w:t>
      </w:r>
      <w:r>
        <w:rPr>
          <w:rFonts w:eastAsiaTheme="minorEastAsia"/>
          <w:bCs/>
        </w:rPr>
        <w:t xml:space="preserve">will be proposed. </w:t>
      </w:r>
    </w:p>
    <w:p w14:paraId="2FD83F74" w14:textId="77777777" w:rsidR="00593588" w:rsidRDefault="00593588" w:rsidP="000D5570">
      <w:pPr>
        <w:pStyle w:val="Doc-text2"/>
        <w:tabs>
          <w:tab w:val="left" w:pos="340"/>
        </w:tabs>
        <w:ind w:left="0" w:firstLine="0"/>
        <w:jc w:val="both"/>
        <w:rPr>
          <w:rFonts w:eastAsiaTheme="minorEastAsia"/>
          <w:bCs/>
        </w:rPr>
      </w:pPr>
    </w:p>
    <w:p w14:paraId="1D5C5590" w14:textId="22477258" w:rsidR="006E5E37" w:rsidRDefault="006E5E37" w:rsidP="000D5570">
      <w:pPr>
        <w:pStyle w:val="Doc-text2"/>
        <w:tabs>
          <w:tab w:val="left" w:pos="340"/>
        </w:tabs>
        <w:ind w:left="0" w:firstLine="0"/>
        <w:jc w:val="both"/>
        <w:rPr>
          <w:rFonts w:eastAsiaTheme="minorEastAsia"/>
          <w:bCs/>
        </w:rPr>
      </w:pPr>
      <w:r>
        <w:rPr>
          <w:rFonts w:eastAsiaTheme="minorEastAsia"/>
          <w:bCs/>
        </w:rPr>
        <w:t xml:space="preserve">One of the issues in 5G NR is that we don’t have </w:t>
      </w:r>
      <w:r w:rsidRPr="006E5E37">
        <w:rPr>
          <w:rFonts w:eastAsiaTheme="minorEastAsia"/>
          <w:bCs/>
        </w:rPr>
        <w:t>measurement gap capability signaling</w:t>
      </w:r>
      <w:r>
        <w:rPr>
          <w:rFonts w:eastAsiaTheme="minorEastAsia"/>
          <w:bCs/>
        </w:rPr>
        <w:t xml:space="preserve"> support in</w:t>
      </w:r>
      <w:r w:rsidR="00CF3531">
        <w:rPr>
          <w:rFonts w:eastAsiaTheme="minorEastAsia"/>
          <w:bCs/>
        </w:rPr>
        <w:t xml:space="preserve"> first release</w:t>
      </w:r>
      <w:r>
        <w:rPr>
          <w:rFonts w:eastAsiaTheme="minorEastAsia"/>
          <w:bCs/>
        </w:rPr>
        <w:t xml:space="preserve">. </w:t>
      </w:r>
      <w:r w:rsidRPr="006E5E37">
        <w:rPr>
          <w:rFonts w:eastAsiaTheme="minorEastAsia"/>
          <w:bCs/>
        </w:rPr>
        <w:t>The network has to configure measurement gap by default for inter-frequency measurement</w:t>
      </w:r>
      <w:r>
        <w:rPr>
          <w:rFonts w:eastAsiaTheme="minorEastAsia"/>
          <w:bCs/>
        </w:rPr>
        <w:t>, which results in some performance degradation. We understand this comes from the controversy of MG design (including signaling part). In 6G, we should try to avoid this. While coordination with RAN4 is of course a must, we should also</w:t>
      </w:r>
      <w:r w:rsidRPr="006E5E37">
        <w:rPr>
          <w:rFonts w:eastAsiaTheme="minorEastAsia"/>
          <w:bCs/>
          <w:lang w:val="en-GB"/>
        </w:rPr>
        <w:t xml:space="preserve"> ensure timely start of the signaling design in RAN2 for measurement gap</w:t>
      </w:r>
      <w:r>
        <w:rPr>
          <w:rFonts w:eastAsiaTheme="minorEastAsia"/>
          <w:bCs/>
          <w:lang w:val="en-GB"/>
        </w:rPr>
        <w:t>.</w:t>
      </w:r>
      <w:r>
        <w:rPr>
          <w:rFonts w:eastAsiaTheme="minorEastAsia"/>
          <w:bCs/>
        </w:rPr>
        <w:t xml:space="preserve"> Therefore, we think that </w:t>
      </w:r>
      <w:r w:rsidRPr="006E5E37">
        <w:rPr>
          <w:rFonts w:eastAsiaTheme="minorEastAsia"/>
          <w:bCs/>
        </w:rPr>
        <w:t xml:space="preserve">RAN2 does not necessarily have to wait for RAN4's proposals to </w:t>
      </w:r>
      <w:r>
        <w:rPr>
          <w:rFonts w:eastAsiaTheme="minorEastAsia"/>
          <w:bCs/>
        </w:rPr>
        <w:t xml:space="preserve">be </w:t>
      </w:r>
      <w:r w:rsidRPr="006E5E37">
        <w:rPr>
          <w:rFonts w:eastAsiaTheme="minorEastAsia"/>
          <w:bCs/>
        </w:rPr>
        <w:t>fully mature before starting to make progress</w:t>
      </w:r>
      <w:r w:rsidR="00D80584">
        <w:rPr>
          <w:rFonts w:eastAsiaTheme="minorEastAsia"/>
          <w:bCs/>
        </w:rPr>
        <w:t>.</w:t>
      </w:r>
      <w:r w:rsidR="00834C28" w:rsidRPr="00834C28">
        <w:t xml:space="preserve"> </w:t>
      </w:r>
      <w:r w:rsidR="00834C28" w:rsidRPr="00834C28">
        <w:rPr>
          <w:rFonts w:eastAsiaTheme="minorEastAsia"/>
          <w:bCs/>
        </w:rPr>
        <w:t>RAN2 can start from the design of procedure and signalling</w:t>
      </w:r>
      <w:r w:rsidR="00834C28">
        <w:rPr>
          <w:rFonts w:eastAsiaTheme="minorEastAsia"/>
          <w:bCs/>
        </w:rPr>
        <w:t xml:space="preserve"> to</w:t>
      </w:r>
      <w:r w:rsidR="00C506DE" w:rsidRPr="00C506DE">
        <w:rPr>
          <w:rFonts w:eastAsiaTheme="minorEastAsia"/>
          <w:bCs/>
        </w:rPr>
        <w:t xml:space="preserve"> identify reasonable option(s) to coordinate with RAN4</w:t>
      </w:r>
      <w:r w:rsidR="00C506DE">
        <w:rPr>
          <w:rFonts w:eastAsiaTheme="minorEastAsia"/>
          <w:bCs/>
        </w:rPr>
        <w:t xml:space="preserve">, while </w:t>
      </w:r>
      <w:r w:rsidRPr="006E5E37">
        <w:rPr>
          <w:rFonts w:eastAsiaTheme="minorEastAsia"/>
          <w:bCs/>
        </w:rPr>
        <w:t>RAN4 can focus on defining the measurement gap (MG) periodicity, length, pattern, and corresponding requirements.</w:t>
      </w:r>
    </w:p>
    <w:p w14:paraId="6B9FAFCD" w14:textId="77777777" w:rsidR="0099075A" w:rsidRDefault="0099075A" w:rsidP="000D5570">
      <w:pPr>
        <w:pStyle w:val="Doc-text2"/>
        <w:tabs>
          <w:tab w:val="left" w:pos="340"/>
        </w:tabs>
        <w:ind w:left="0" w:firstLine="0"/>
        <w:jc w:val="both"/>
        <w:rPr>
          <w:rFonts w:eastAsiaTheme="minorEastAsia"/>
          <w:bCs/>
        </w:rPr>
      </w:pPr>
    </w:p>
    <w:p w14:paraId="6C1D06E7" w14:textId="69FB6B57" w:rsidR="0099075A" w:rsidRPr="0099075A" w:rsidRDefault="0099075A" w:rsidP="000D5570">
      <w:pPr>
        <w:pStyle w:val="Doc-text2"/>
        <w:tabs>
          <w:tab w:val="left" w:pos="340"/>
        </w:tabs>
        <w:ind w:left="0" w:firstLine="0"/>
        <w:jc w:val="both"/>
        <w:rPr>
          <w:rFonts w:eastAsiaTheme="minorEastAsia"/>
          <w:b/>
          <w:lang w:val="en-GB"/>
        </w:rPr>
      </w:pPr>
      <w:r w:rsidRPr="0099075A">
        <w:rPr>
          <w:rFonts w:eastAsiaTheme="minorEastAsia"/>
          <w:b/>
          <w:lang w:val="en-GB"/>
        </w:rPr>
        <w:t xml:space="preserve">Observation 3: </w:t>
      </w:r>
      <w:r w:rsidR="006E5E37">
        <w:rPr>
          <w:rFonts w:eastAsiaTheme="minorEastAsia"/>
          <w:b/>
          <w:lang w:val="en-GB"/>
        </w:rPr>
        <w:t>There is no measurement gap</w:t>
      </w:r>
      <w:r w:rsidR="006E5E37" w:rsidRPr="006E5E37">
        <w:rPr>
          <w:rFonts w:eastAsiaTheme="minorEastAsia"/>
          <w:b/>
          <w:lang w:val="en-GB"/>
        </w:rPr>
        <w:t xml:space="preserve"> capability signaling in first </w:t>
      </w:r>
      <w:r w:rsidR="006E5E37">
        <w:rPr>
          <w:rFonts w:eastAsiaTheme="minorEastAsia"/>
          <w:b/>
          <w:lang w:val="en-GB"/>
        </w:rPr>
        <w:t xml:space="preserve">NR </w:t>
      </w:r>
      <w:r w:rsidR="006E5E37" w:rsidRPr="006E5E37">
        <w:rPr>
          <w:rFonts w:eastAsiaTheme="minorEastAsia"/>
          <w:b/>
          <w:lang w:val="en-GB"/>
        </w:rPr>
        <w:t>release</w:t>
      </w:r>
      <w:r w:rsidRPr="0099075A">
        <w:rPr>
          <w:rFonts w:eastAsiaTheme="minorEastAsia"/>
          <w:b/>
          <w:lang w:val="en-GB"/>
        </w:rPr>
        <w:t>.</w:t>
      </w:r>
      <w:r w:rsidR="006E5E37">
        <w:rPr>
          <w:rFonts w:eastAsiaTheme="minorEastAsia"/>
          <w:b/>
          <w:lang w:val="en-GB"/>
        </w:rPr>
        <w:t xml:space="preserve"> The network has to configure measurement gap by default for inter-frequency measurement.</w:t>
      </w:r>
    </w:p>
    <w:p w14:paraId="6644DCE0" w14:textId="77777777" w:rsidR="006E5E37" w:rsidRDefault="006E5E37" w:rsidP="000D5570">
      <w:pPr>
        <w:pStyle w:val="Doc-text2"/>
        <w:tabs>
          <w:tab w:val="left" w:pos="340"/>
        </w:tabs>
        <w:ind w:left="0" w:firstLine="0"/>
        <w:jc w:val="both"/>
        <w:rPr>
          <w:rFonts w:eastAsiaTheme="minorEastAsia"/>
          <w:bCs/>
        </w:rPr>
      </w:pPr>
    </w:p>
    <w:p w14:paraId="3A13EDDD" w14:textId="641B1ECA" w:rsidR="00FD5669" w:rsidRDefault="00FD5669" w:rsidP="000D5570">
      <w:pPr>
        <w:pStyle w:val="Doc-text2"/>
        <w:tabs>
          <w:tab w:val="left" w:pos="340"/>
        </w:tabs>
        <w:ind w:left="0" w:firstLine="0"/>
        <w:jc w:val="both"/>
        <w:rPr>
          <w:rFonts w:eastAsiaTheme="minorEastAsia"/>
          <w:bCs/>
          <w:lang w:val="en-GB"/>
        </w:rPr>
      </w:pPr>
      <w:r>
        <w:rPr>
          <w:rFonts w:eastAsiaTheme="minorEastAsia"/>
          <w:b/>
          <w:lang w:val="en-GB"/>
        </w:rPr>
        <w:t xml:space="preserve">Proposal </w:t>
      </w:r>
      <w:r w:rsidR="0061418E">
        <w:rPr>
          <w:rFonts w:eastAsiaTheme="minorEastAsia"/>
          <w:b/>
          <w:lang w:val="en-GB"/>
        </w:rPr>
        <w:t>3</w:t>
      </w:r>
      <w:r>
        <w:rPr>
          <w:rFonts w:eastAsiaTheme="minorEastAsia"/>
          <w:b/>
          <w:lang w:val="en-GB"/>
        </w:rPr>
        <w:t>: For 6G measurement gap, RAN2 can start from the design of procedure and signalling</w:t>
      </w:r>
      <w:r w:rsidR="00C506DE">
        <w:rPr>
          <w:rFonts w:eastAsiaTheme="minorEastAsia"/>
          <w:b/>
          <w:lang w:val="en-GB"/>
        </w:rPr>
        <w:t xml:space="preserve"> </w:t>
      </w:r>
      <w:r w:rsidR="00834C28">
        <w:rPr>
          <w:rFonts w:eastAsiaTheme="minorEastAsia"/>
          <w:b/>
          <w:lang w:val="en-GB"/>
        </w:rPr>
        <w:t>to</w:t>
      </w:r>
      <w:r w:rsidR="00C506DE">
        <w:rPr>
          <w:rFonts w:eastAsiaTheme="minorEastAsia"/>
          <w:b/>
          <w:lang w:val="en-GB"/>
        </w:rPr>
        <w:t xml:space="preserve"> identify </w:t>
      </w:r>
      <w:r w:rsidR="00C506DE" w:rsidRPr="00C506DE">
        <w:rPr>
          <w:rFonts w:eastAsiaTheme="minorEastAsia"/>
          <w:b/>
          <w:bCs/>
          <w:lang w:val="en-GB"/>
        </w:rPr>
        <w:t>reasonable option</w:t>
      </w:r>
      <w:r w:rsidR="00C506DE">
        <w:rPr>
          <w:rFonts w:eastAsiaTheme="minorEastAsia"/>
          <w:b/>
          <w:bCs/>
          <w:lang w:val="en-GB"/>
        </w:rPr>
        <w:t>(</w:t>
      </w:r>
      <w:r w:rsidR="00C506DE" w:rsidRPr="00C506DE">
        <w:rPr>
          <w:rFonts w:eastAsiaTheme="minorEastAsia"/>
          <w:b/>
          <w:bCs/>
          <w:lang w:val="en-GB"/>
        </w:rPr>
        <w:t>s</w:t>
      </w:r>
      <w:r w:rsidR="00C506DE">
        <w:rPr>
          <w:rFonts w:eastAsiaTheme="minorEastAsia"/>
          <w:b/>
          <w:bCs/>
          <w:lang w:val="en-GB"/>
        </w:rPr>
        <w:t>) to coordinate with RAN4</w:t>
      </w:r>
      <w:r>
        <w:rPr>
          <w:rFonts w:eastAsiaTheme="minorEastAsia"/>
          <w:b/>
          <w:lang w:val="en-GB"/>
        </w:rPr>
        <w:t>.</w:t>
      </w:r>
    </w:p>
    <w:p w14:paraId="2998FED8" w14:textId="77777777" w:rsidR="00FD5669" w:rsidRDefault="00FD5669" w:rsidP="000D5570">
      <w:pPr>
        <w:pStyle w:val="Doc-text2"/>
        <w:tabs>
          <w:tab w:val="left" w:pos="340"/>
        </w:tabs>
        <w:ind w:left="0" w:firstLine="0"/>
        <w:rPr>
          <w:rFonts w:eastAsiaTheme="minorEastAsia"/>
          <w:bCs/>
          <w:lang w:val="en-GB"/>
        </w:rPr>
      </w:pPr>
    </w:p>
    <w:p w14:paraId="5DAE21C1" w14:textId="77777777" w:rsidR="00EE3F39" w:rsidRDefault="00FD5669" w:rsidP="000D5570">
      <w:pPr>
        <w:pStyle w:val="Doc-text2"/>
        <w:tabs>
          <w:tab w:val="left" w:pos="340"/>
        </w:tabs>
        <w:ind w:left="0" w:firstLine="0"/>
        <w:jc w:val="both"/>
        <w:rPr>
          <w:rFonts w:eastAsiaTheme="minorEastAsia"/>
          <w:bCs/>
          <w:lang w:val="en-GB"/>
        </w:rPr>
      </w:pPr>
      <w:r>
        <w:rPr>
          <w:rFonts w:eastAsiaTheme="minorEastAsia"/>
          <w:bCs/>
          <w:lang w:val="en-GB"/>
        </w:rPr>
        <w:t xml:space="preserve">In </w:t>
      </w:r>
      <w:r w:rsidR="00EE3F39">
        <w:rPr>
          <w:rFonts w:eastAsiaTheme="minorEastAsia"/>
          <w:bCs/>
          <w:lang w:val="en-GB"/>
        </w:rPr>
        <w:t>legacy</w:t>
      </w:r>
      <w:r>
        <w:rPr>
          <w:rFonts w:eastAsiaTheme="minorEastAsia"/>
          <w:bCs/>
          <w:lang w:val="en-GB"/>
        </w:rPr>
        <w:t xml:space="preserve"> measurement procedures, the MG is configured by the network based on predefined patterns. However, the need for MG is highly UE-specific and varies among different UEs, depending on factors such as UE capability, DL/UL assignment, and measurement configuration as shown in Fig. 3. </w:t>
      </w:r>
    </w:p>
    <w:p w14:paraId="68493575" w14:textId="77777777" w:rsidR="00EE3F39" w:rsidRDefault="00EE3F39" w:rsidP="000D5570">
      <w:pPr>
        <w:pStyle w:val="Doc-text2"/>
        <w:tabs>
          <w:tab w:val="left" w:pos="340"/>
        </w:tabs>
        <w:ind w:left="0" w:firstLine="0"/>
        <w:jc w:val="both"/>
        <w:rPr>
          <w:rFonts w:eastAsiaTheme="minorEastAsia"/>
          <w:bCs/>
          <w:lang w:val="en-GB"/>
        </w:rPr>
      </w:pPr>
    </w:p>
    <w:p w14:paraId="36C4BB37" w14:textId="0C23020B" w:rsidR="00222F72" w:rsidRDefault="00222F72" w:rsidP="00222F72">
      <w:pPr>
        <w:pStyle w:val="Doc-text2"/>
        <w:tabs>
          <w:tab w:val="left" w:pos="340"/>
        </w:tabs>
        <w:ind w:left="0" w:firstLine="0"/>
        <w:jc w:val="center"/>
        <w:rPr>
          <w:rFonts w:eastAsiaTheme="minorEastAsia"/>
          <w:bCs/>
          <w:lang w:val="en-GB"/>
        </w:rPr>
      </w:pPr>
      <w:r>
        <w:rPr>
          <w:rFonts w:eastAsiaTheme="minorEastAsia"/>
          <w:noProof/>
          <w:lang w:val="en-GB"/>
        </w:rPr>
        <w:drawing>
          <wp:inline distT="0" distB="0" distL="0" distR="0" wp14:anchorId="5EF9F8A5" wp14:editId="644D7F8C">
            <wp:extent cx="3177540" cy="2087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7540" cy="2087880"/>
                    </a:xfrm>
                    <a:prstGeom prst="rect">
                      <a:avLst/>
                    </a:prstGeom>
                    <a:noFill/>
                    <a:ln>
                      <a:noFill/>
                    </a:ln>
                  </pic:spPr>
                </pic:pic>
              </a:graphicData>
            </a:graphic>
          </wp:inline>
        </w:drawing>
      </w:r>
    </w:p>
    <w:p w14:paraId="344F0EB0" w14:textId="77777777" w:rsidR="00222F72" w:rsidRDefault="00222F72" w:rsidP="008B7C5B">
      <w:pPr>
        <w:pStyle w:val="Doc-text2"/>
        <w:tabs>
          <w:tab w:val="left" w:pos="340"/>
        </w:tabs>
        <w:ind w:left="0" w:firstLine="0"/>
        <w:jc w:val="center"/>
        <w:rPr>
          <w:rFonts w:eastAsiaTheme="minorEastAsia"/>
          <w:bCs/>
        </w:rPr>
      </w:pPr>
      <w:r>
        <w:rPr>
          <w:rFonts w:eastAsiaTheme="minorEastAsia"/>
          <w:bCs/>
        </w:rPr>
        <w:t>Figure 3 – Illustration of different MG/interruption requirements for different UEs</w:t>
      </w:r>
    </w:p>
    <w:p w14:paraId="084F6683" w14:textId="77777777" w:rsidR="00222F72" w:rsidRDefault="00222F72" w:rsidP="000D5570">
      <w:pPr>
        <w:pStyle w:val="Doc-text2"/>
        <w:tabs>
          <w:tab w:val="left" w:pos="340"/>
        </w:tabs>
        <w:ind w:left="0" w:firstLine="0"/>
        <w:jc w:val="both"/>
        <w:rPr>
          <w:rFonts w:eastAsiaTheme="minorEastAsia"/>
          <w:bCs/>
        </w:rPr>
      </w:pPr>
    </w:p>
    <w:p w14:paraId="2B41FA75" w14:textId="7D4B6AA5" w:rsidR="004B67F0" w:rsidRDefault="009A739B" w:rsidP="000D5570">
      <w:pPr>
        <w:pStyle w:val="Doc-text2"/>
        <w:tabs>
          <w:tab w:val="left" w:pos="340"/>
        </w:tabs>
        <w:ind w:left="0" w:firstLine="0"/>
        <w:jc w:val="both"/>
        <w:rPr>
          <w:rFonts w:eastAsiaTheme="minorEastAsia"/>
          <w:bCs/>
          <w:lang w:val="en-GB"/>
        </w:rPr>
      </w:pPr>
      <w:r w:rsidRPr="009A739B">
        <w:rPr>
          <w:rFonts w:eastAsiaTheme="minorEastAsia"/>
          <w:bCs/>
          <w:lang w:val="en-GB"/>
        </w:rPr>
        <w:t>In 5G, MG configuration has become more dynamic and tailored to individual UEs, with features such as Pre-configured Gap (Pre-MG) for BWP switching, Concurrent Gap (Con-MG) for multiple MG configurations, and Network Controlled Small Gap (NCSG), which allows the UE to report whether the interruption is needed.</w:t>
      </w:r>
      <w:r w:rsidR="004B67F0">
        <w:rPr>
          <w:rFonts w:eastAsiaTheme="minorEastAsia"/>
          <w:bCs/>
          <w:lang w:val="en-GB"/>
        </w:rPr>
        <w:t xml:space="preserve"> </w:t>
      </w:r>
      <w:r w:rsidR="00EE3F39">
        <w:rPr>
          <w:rFonts w:eastAsiaTheme="minorEastAsia"/>
          <w:bCs/>
          <w:lang w:val="en-GB"/>
        </w:rPr>
        <w:t>T</w:t>
      </w:r>
      <w:r w:rsidR="00FD5669">
        <w:rPr>
          <w:rFonts w:eastAsiaTheme="minorEastAsia"/>
          <w:bCs/>
          <w:lang w:val="en-GB"/>
        </w:rPr>
        <w:t>he aforementioned MG enhancement was</w:t>
      </w:r>
      <w:r w:rsidR="00EE3F39">
        <w:rPr>
          <w:rFonts w:eastAsiaTheme="minorEastAsia"/>
          <w:bCs/>
          <w:lang w:val="en-GB"/>
        </w:rPr>
        <w:t xml:space="preserve"> (again)</w:t>
      </w:r>
      <w:r w:rsidR="00FD5669">
        <w:rPr>
          <w:rFonts w:eastAsiaTheme="minorEastAsia"/>
          <w:bCs/>
          <w:lang w:val="en-GB"/>
        </w:rPr>
        <w:t xml:space="preserve"> </w:t>
      </w:r>
      <w:r w:rsidR="00EE3F39">
        <w:rPr>
          <w:rFonts w:eastAsiaTheme="minorEastAsia"/>
          <w:bCs/>
          <w:lang w:val="en-GB"/>
        </w:rPr>
        <w:t>not included in</w:t>
      </w:r>
      <w:r w:rsidR="00FD5669">
        <w:rPr>
          <w:rFonts w:eastAsiaTheme="minorEastAsia"/>
          <w:bCs/>
          <w:lang w:val="en-GB"/>
        </w:rPr>
        <w:t xml:space="preserve"> 5G day 1. Most features were added continuously with new demands </w:t>
      </w:r>
      <w:r w:rsidR="004B67F0">
        <w:rPr>
          <w:rFonts w:eastAsiaTheme="minorEastAsia"/>
          <w:bCs/>
          <w:lang w:val="en-GB"/>
        </w:rPr>
        <w:t>to the UE/NW</w:t>
      </w:r>
      <w:r w:rsidR="00FD5669">
        <w:rPr>
          <w:rFonts w:eastAsiaTheme="minorEastAsia"/>
          <w:bCs/>
          <w:lang w:val="en-GB"/>
        </w:rPr>
        <w:t xml:space="preserve">, leading to high complexity in supporting various different features. </w:t>
      </w:r>
    </w:p>
    <w:p w14:paraId="32D4DEE3" w14:textId="57B70155" w:rsidR="00FD5669" w:rsidRDefault="00FD5669" w:rsidP="000D5570">
      <w:pPr>
        <w:pStyle w:val="Doc-text2"/>
        <w:tabs>
          <w:tab w:val="left" w:pos="340"/>
        </w:tabs>
        <w:ind w:left="0" w:firstLine="0"/>
        <w:jc w:val="both"/>
        <w:rPr>
          <w:rFonts w:eastAsiaTheme="minorEastAsia"/>
          <w:bCs/>
          <w:lang w:val="en-GB"/>
        </w:rPr>
      </w:pPr>
    </w:p>
    <w:p w14:paraId="2B777B50" w14:textId="43A52D1D" w:rsidR="00FD5669" w:rsidRDefault="00FD5669" w:rsidP="000D5570">
      <w:pPr>
        <w:pStyle w:val="Doc-text2"/>
        <w:tabs>
          <w:tab w:val="left" w:pos="340"/>
        </w:tabs>
        <w:ind w:left="0" w:firstLine="0"/>
        <w:jc w:val="both"/>
        <w:rPr>
          <w:rFonts w:eastAsiaTheme="minorEastAsia"/>
          <w:b/>
          <w:lang w:val="en-GB"/>
        </w:rPr>
      </w:pPr>
      <w:r>
        <w:rPr>
          <w:rFonts w:eastAsiaTheme="minorEastAsia"/>
          <w:b/>
          <w:lang w:val="en-GB"/>
        </w:rPr>
        <w:lastRenderedPageBreak/>
        <w:t xml:space="preserve">Observation </w:t>
      </w:r>
      <w:r w:rsidR="0099075A">
        <w:rPr>
          <w:rFonts w:eastAsiaTheme="minorEastAsia"/>
          <w:b/>
          <w:lang w:val="en-GB"/>
        </w:rPr>
        <w:t>4</w:t>
      </w:r>
      <w:r>
        <w:rPr>
          <w:rFonts w:eastAsiaTheme="minorEastAsia"/>
          <w:b/>
          <w:lang w:val="en-GB"/>
        </w:rPr>
        <w:t>:</w:t>
      </w:r>
      <w:r w:rsidR="00EE3F39">
        <w:rPr>
          <w:rFonts w:eastAsiaTheme="minorEastAsia"/>
          <w:b/>
          <w:lang w:val="en-GB"/>
        </w:rPr>
        <w:t xml:space="preserve"> </w:t>
      </w:r>
      <w:r w:rsidR="00EE3F39">
        <w:rPr>
          <w:rFonts w:eastAsiaTheme="minorEastAsia"/>
          <w:b/>
        </w:rPr>
        <w:t xml:space="preserve">Multiple </w:t>
      </w:r>
      <w:r>
        <w:rPr>
          <w:rFonts w:eastAsiaTheme="minorEastAsia"/>
          <w:b/>
        </w:rPr>
        <w:t xml:space="preserve">MG-related features, e.g., Pre-MG, Con-MG, NCSG, was not </w:t>
      </w:r>
      <w:r w:rsidR="007D5781">
        <w:rPr>
          <w:rFonts w:eastAsiaTheme="minorEastAsia"/>
          <w:b/>
        </w:rPr>
        <w:t>included in</w:t>
      </w:r>
      <w:r>
        <w:rPr>
          <w:rFonts w:eastAsiaTheme="minorEastAsia"/>
          <w:b/>
        </w:rPr>
        <w:t xml:space="preserve"> 5G </w:t>
      </w:r>
      <w:r w:rsidR="007D5781">
        <w:rPr>
          <w:rFonts w:eastAsiaTheme="minorEastAsia"/>
          <w:b/>
        </w:rPr>
        <w:t>D</w:t>
      </w:r>
      <w:r>
        <w:rPr>
          <w:rFonts w:eastAsiaTheme="minorEastAsia"/>
          <w:b/>
        </w:rPr>
        <w:t>ay</w:t>
      </w:r>
      <w:r w:rsidR="007D5781">
        <w:rPr>
          <w:rFonts w:eastAsiaTheme="minorEastAsia"/>
          <w:b/>
        </w:rPr>
        <w:t>-</w:t>
      </w:r>
      <w:r>
        <w:rPr>
          <w:rFonts w:eastAsiaTheme="minorEastAsia"/>
          <w:b/>
        </w:rPr>
        <w:t>1, which increase</w:t>
      </w:r>
      <w:r>
        <w:rPr>
          <w:rFonts w:eastAsiaTheme="minorEastAsia"/>
          <w:b/>
          <w:lang w:val="en-GB"/>
        </w:rPr>
        <w:t xml:space="preserve"> the complexity to support different features.</w:t>
      </w:r>
    </w:p>
    <w:p w14:paraId="6B2F2955" w14:textId="77777777" w:rsidR="00F47ED3" w:rsidRDefault="00F47ED3" w:rsidP="000D5570">
      <w:pPr>
        <w:pStyle w:val="Doc-text2"/>
        <w:tabs>
          <w:tab w:val="left" w:pos="340"/>
        </w:tabs>
        <w:ind w:left="0" w:firstLine="0"/>
        <w:jc w:val="both"/>
        <w:rPr>
          <w:rFonts w:eastAsiaTheme="minorEastAsia"/>
          <w:b/>
          <w:lang w:val="en-GB"/>
        </w:rPr>
      </w:pPr>
    </w:p>
    <w:p w14:paraId="187DC01A" w14:textId="13E24DA3" w:rsidR="00FD5669" w:rsidRDefault="004B67F0" w:rsidP="000D5570">
      <w:pPr>
        <w:pStyle w:val="Doc-text2"/>
        <w:tabs>
          <w:tab w:val="left" w:pos="340"/>
        </w:tabs>
        <w:ind w:left="0" w:firstLine="0"/>
        <w:jc w:val="both"/>
        <w:rPr>
          <w:rFonts w:eastAsiaTheme="minorEastAsia"/>
          <w:bCs/>
          <w:lang w:val="en-GB"/>
        </w:rPr>
      </w:pPr>
      <w:r>
        <w:rPr>
          <w:rFonts w:eastAsiaTheme="minorEastAsia"/>
          <w:bCs/>
          <w:lang w:val="en-GB"/>
        </w:rPr>
        <w:t>A</w:t>
      </w:r>
      <w:r w:rsidR="00EE3F39" w:rsidRPr="004B67F0">
        <w:rPr>
          <w:rFonts w:eastAsiaTheme="minorEastAsia"/>
          <w:bCs/>
          <w:lang w:val="en-GB"/>
        </w:rPr>
        <w:t xml:space="preserve"> simple and flexible MG signaling procedure should be supported in 6G Day-1.</w:t>
      </w:r>
      <w:r>
        <w:rPr>
          <w:rFonts w:eastAsiaTheme="minorEastAsia"/>
          <w:bCs/>
          <w:lang w:val="en-GB"/>
        </w:rPr>
        <w:t xml:space="preserve"> W</w:t>
      </w:r>
      <w:r w:rsidR="00FD5669">
        <w:rPr>
          <w:rFonts w:eastAsiaTheme="minorEastAsia"/>
          <w:bCs/>
          <w:lang w:val="en-GB"/>
        </w:rPr>
        <w:t>e propose that the UE directly report its MG/interruption requirements to NW, as illustrated in Fig. 4.</w:t>
      </w:r>
      <w:r>
        <w:rPr>
          <w:rFonts w:eastAsiaTheme="minorEastAsia"/>
          <w:bCs/>
          <w:lang w:val="en-GB"/>
        </w:rPr>
        <w:t xml:space="preserve"> </w:t>
      </w:r>
      <w:r w:rsidR="00FD5669">
        <w:rPr>
          <w:rFonts w:eastAsiaTheme="minorEastAsia"/>
          <w:bCs/>
          <w:lang w:val="en-GB"/>
        </w:rPr>
        <w:t>Once UE receives the necessary configuration, it can determine the MG/interruption needs based on its current capability, e.g., any redundant RF chain, current DL/UL assignment, and measurement task. The UE can then report its minimal MG/interruption needs to the NW.</w:t>
      </w:r>
      <w:r w:rsidR="00222F72">
        <w:rPr>
          <w:rFonts w:eastAsiaTheme="minorEastAsia"/>
          <w:bCs/>
          <w:lang w:val="en-GB"/>
        </w:rPr>
        <w:t xml:space="preserve"> </w:t>
      </w:r>
      <w:r w:rsidR="00FD5669">
        <w:rPr>
          <w:rFonts w:eastAsiaTheme="minorEastAsia"/>
          <w:bCs/>
          <w:lang w:val="en-GB"/>
        </w:rPr>
        <w:t xml:space="preserve">This report can be aperiodic, periodic or event-triggered according to NW configuration, or it can be </w:t>
      </w:r>
      <w:r w:rsidR="00545C12">
        <w:rPr>
          <w:rFonts w:eastAsiaTheme="minorEastAsia"/>
          <w:bCs/>
          <w:lang w:val="en-GB"/>
        </w:rPr>
        <w:t>autonomously</w:t>
      </w:r>
      <w:r w:rsidR="00FD5669">
        <w:rPr>
          <w:rFonts w:eastAsiaTheme="minorEastAsia"/>
          <w:bCs/>
          <w:lang w:val="en-GB"/>
        </w:rPr>
        <w:t xml:space="preserve"> triggered by UE if its status changes. After receiving the report, NW could decide whether to apply the requested MG pattern and send the response to UE. Once the pattern is accepted, UE can apply </w:t>
      </w:r>
      <w:proofErr w:type="gramStart"/>
      <w:r w:rsidR="00FD5669">
        <w:rPr>
          <w:rFonts w:eastAsiaTheme="minorEastAsia"/>
          <w:bCs/>
          <w:lang w:val="en-GB"/>
        </w:rPr>
        <w:t>it</w:t>
      </w:r>
      <w:proofErr w:type="gramEnd"/>
      <w:r w:rsidR="00FD5669">
        <w:rPr>
          <w:rFonts w:eastAsiaTheme="minorEastAsia"/>
          <w:bCs/>
          <w:lang w:val="en-GB"/>
        </w:rPr>
        <w:t xml:space="preserve"> and NW will re-schedule UL/DL based on the new MG pattern if need.</w:t>
      </w:r>
    </w:p>
    <w:p w14:paraId="2B3F5C72" w14:textId="77777777" w:rsidR="00FD5669" w:rsidRDefault="00FD5669" w:rsidP="000D5570">
      <w:pPr>
        <w:pStyle w:val="Doc-text2"/>
        <w:tabs>
          <w:tab w:val="left" w:pos="340"/>
        </w:tabs>
        <w:ind w:left="0" w:firstLine="0"/>
        <w:jc w:val="both"/>
        <w:rPr>
          <w:rFonts w:eastAsiaTheme="minorEastAsia"/>
          <w:bCs/>
        </w:rPr>
      </w:pPr>
    </w:p>
    <w:p w14:paraId="38CA4154" w14:textId="17C1DB28" w:rsidR="00FD5669" w:rsidRDefault="00FD5669" w:rsidP="00F26384">
      <w:pPr>
        <w:pStyle w:val="Doc-text2"/>
        <w:tabs>
          <w:tab w:val="left" w:pos="340"/>
        </w:tabs>
        <w:rPr>
          <w:rFonts w:eastAsiaTheme="minorEastAsia"/>
          <w:bCs/>
          <w:lang w:val="en-GB"/>
        </w:rPr>
      </w:pPr>
      <w:r>
        <w:rPr>
          <w:rFonts w:eastAsiaTheme="minorEastAsia"/>
          <w:noProof/>
          <w:lang w:val="en-GB"/>
        </w:rPr>
        <w:drawing>
          <wp:inline distT="0" distB="0" distL="0" distR="0" wp14:anchorId="6712DB4C" wp14:editId="3847061A">
            <wp:extent cx="5334000" cy="2552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a:extLst>
                        <a:ext uri="{28A0092B-C50C-407E-A947-70E740481C1C}">
                          <a14:useLocalDpi xmlns:a14="http://schemas.microsoft.com/office/drawing/2010/main" val="0"/>
                        </a:ext>
                      </a:extLst>
                    </a:blip>
                    <a:srcRect l="-2" r="-25652"/>
                    <a:stretch>
                      <a:fillRect/>
                    </a:stretch>
                  </pic:blipFill>
                  <pic:spPr bwMode="auto">
                    <a:xfrm>
                      <a:off x="0" y="0"/>
                      <a:ext cx="5334000" cy="2552700"/>
                    </a:xfrm>
                    <a:prstGeom prst="rect">
                      <a:avLst/>
                    </a:prstGeom>
                    <a:noFill/>
                    <a:ln>
                      <a:noFill/>
                    </a:ln>
                  </pic:spPr>
                </pic:pic>
              </a:graphicData>
            </a:graphic>
          </wp:inline>
        </w:drawing>
      </w:r>
    </w:p>
    <w:p w14:paraId="42390B08" w14:textId="77777777" w:rsidR="00FD5669" w:rsidRDefault="00FD5669" w:rsidP="000D5570">
      <w:pPr>
        <w:pStyle w:val="Doc-text2"/>
        <w:tabs>
          <w:tab w:val="left" w:pos="340"/>
        </w:tabs>
        <w:ind w:left="0" w:firstLine="0"/>
        <w:jc w:val="center"/>
        <w:rPr>
          <w:rFonts w:eastAsiaTheme="minorEastAsia"/>
          <w:bCs/>
        </w:rPr>
      </w:pPr>
      <w:r>
        <w:rPr>
          <w:rFonts w:eastAsiaTheme="minorEastAsia"/>
          <w:bCs/>
        </w:rPr>
        <w:t>Figure 4 – Illustration of UE-request MG procedure.</w:t>
      </w:r>
    </w:p>
    <w:p w14:paraId="216911BE" w14:textId="77777777" w:rsidR="00FD5669" w:rsidRDefault="00FD5669" w:rsidP="000D5570">
      <w:pPr>
        <w:pStyle w:val="Doc-text2"/>
        <w:tabs>
          <w:tab w:val="left" w:pos="340"/>
        </w:tabs>
        <w:ind w:left="0" w:firstLine="0"/>
        <w:rPr>
          <w:rFonts w:eastAsiaTheme="minorEastAsia"/>
          <w:bCs/>
        </w:rPr>
      </w:pPr>
    </w:p>
    <w:p w14:paraId="56DA65B6" w14:textId="77777777" w:rsidR="00FD5669" w:rsidRDefault="00FD5669" w:rsidP="000D5570">
      <w:pPr>
        <w:pStyle w:val="Doc-text2"/>
        <w:tabs>
          <w:tab w:val="left" w:pos="340"/>
        </w:tabs>
        <w:ind w:left="0" w:firstLine="0"/>
        <w:jc w:val="both"/>
        <w:rPr>
          <w:rFonts w:eastAsiaTheme="minorEastAsia"/>
          <w:bCs/>
          <w:lang w:val="en-GB"/>
        </w:rPr>
      </w:pPr>
      <w:r>
        <w:rPr>
          <w:rFonts w:eastAsiaTheme="minorEastAsia"/>
          <w:bCs/>
        </w:rPr>
        <w:t xml:space="preserve">Since the UE has comprehensive knowledge of its own MG/interruption requirements, this approach allows NW to dynamically configure tailor-made MG for different UEs. </w:t>
      </w:r>
      <w:r>
        <w:rPr>
          <w:rFonts w:eastAsiaTheme="minorEastAsia"/>
          <w:bCs/>
          <w:lang w:val="en-GB"/>
        </w:rPr>
        <w:t xml:space="preserve">Configuring minimal MG/interruption to each UE can reduce unnecessary interruptions and enhance overall system performance, benefiting both NW and UE. This UE-request MG mechanism can also be easily extended to accommodate 6G new UE features and capabilities, such as AI-based measurement gap reduction and various RF capabilities, if the report signalling, e.g., pattern format, is well-design. </w:t>
      </w:r>
    </w:p>
    <w:p w14:paraId="137CE018" w14:textId="77777777" w:rsidR="00FD5669" w:rsidRDefault="00FD5669" w:rsidP="000D5570">
      <w:pPr>
        <w:pStyle w:val="Doc-text2"/>
        <w:tabs>
          <w:tab w:val="left" w:pos="340"/>
        </w:tabs>
        <w:ind w:left="0" w:firstLine="0"/>
        <w:jc w:val="both"/>
        <w:rPr>
          <w:rFonts w:eastAsiaTheme="minorEastAsia"/>
          <w:b/>
          <w:lang w:val="en-GB"/>
        </w:rPr>
      </w:pPr>
    </w:p>
    <w:p w14:paraId="393077C2" w14:textId="77777777" w:rsidR="00C80DA9" w:rsidRDefault="00C80DA9" w:rsidP="00C80DA9">
      <w:pPr>
        <w:pStyle w:val="Doc-text2"/>
        <w:tabs>
          <w:tab w:val="left" w:pos="340"/>
        </w:tabs>
        <w:ind w:left="0" w:firstLine="0"/>
        <w:jc w:val="both"/>
        <w:rPr>
          <w:rFonts w:eastAsiaTheme="minorEastAsia"/>
          <w:b/>
          <w:lang w:val="en-GB"/>
        </w:rPr>
      </w:pPr>
      <w:r>
        <w:rPr>
          <w:rFonts w:eastAsiaTheme="minorEastAsia"/>
          <w:b/>
          <w:lang w:val="en-GB"/>
        </w:rPr>
        <w:t xml:space="preserve">Proposal 4: RAN2 aim to </w:t>
      </w:r>
      <w:r>
        <w:rPr>
          <w:rFonts w:eastAsiaTheme="minorEastAsia"/>
          <w:b/>
        </w:rPr>
        <w:t>design a measurement gap signaling framework</w:t>
      </w:r>
      <w:r>
        <w:rPr>
          <w:rFonts w:eastAsiaTheme="minorEastAsia"/>
          <w:b/>
          <w:lang w:val="en-GB"/>
        </w:rPr>
        <w:t xml:space="preserve"> that allows UE to request measurement gap dynamically based on current UE configuration and status.</w:t>
      </w:r>
    </w:p>
    <w:p w14:paraId="30AA8737" w14:textId="77777777" w:rsidR="00A421F9" w:rsidRDefault="00A421F9" w:rsidP="00C80DA9">
      <w:pPr>
        <w:pStyle w:val="Doc-text2"/>
        <w:tabs>
          <w:tab w:val="left" w:pos="340"/>
        </w:tabs>
        <w:ind w:left="0" w:firstLine="0"/>
        <w:jc w:val="both"/>
        <w:rPr>
          <w:rFonts w:eastAsiaTheme="minorEastAsia"/>
          <w:b/>
          <w:lang w:val="en-GB"/>
        </w:rPr>
      </w:pPr>
    </w:p>
    <w:p w14:paraId="09A45281" w14:textId="14CD4E61" w:rsidR="000575B3" w:rsidRDefault="00351D88">
      <w:pPr>
        <w:pStyle w:val="Heading2"/>
        <w:numPr>
          <w:ilvl w:val="1"/>
          <w:numId w:val="10"/>
        </w:numPr>
        <w:rPr>
          <w:lang w:eastAsia="ko-KR"/>
        </w:rPr>
      </w:pPr>
      <w:r>
        <w:rPr>
          <w:lang w:eastAsia="ko-KR"/>
        </w:rPr>
        <w:t>Mobility procedure</w:t>
      </w:r>
      <w:r w:rsidR="00697ECD">
        <w:rPr>
          <w:lang w:eastAsia="ko-KR"/>
        </w:rPr>
        <w:t xml:space="preserve"> (Connected)</w:t>
      </w:r>
    </w:p>
    <w:p w14:paraId="1F587A31" w14:textId="328B53B6" w:rsidR="00103445" w:rsidRDefault="00801F57" w:rsidP="00E87E02">
      <w:pPr>
        <w:spacing w:after="0"/>
        <w:jc w:val="both"/>
        <w:rPr>
          <w:rFonts w:ascii="Arial" w:hAnsi="Arial" w:cs="Arial"/>
          <w:lang w:val="en-US"/>
        </w:rPr>
      </w:pPr>
      <w:r>
        <w:rPr>
          <w:rFonts w:ascii="Arial" w:hAnsi="Arial" w:cs="Arial"/>
          <w:lang w:val="en-US"/>
        </w:rPr>
        <w:t>T</w:t>
      </w:r>
      <w:r w:rsidR="00103445" w:rsidRPr="00103445">
        <w:rPr>
          <w:rFonts w:ascii="Arial" w:hAnsi="Arial" w:cs="Arial"/>
          <w:lang w:val="en-US"/>
        </w:rPr>
        <w:t>he concept of a generic/unified mobility procedure has been widely proposed</w:t>
      </w:r>
      <w:r w:rsidR="00D33FC6">
        <w:rPr>
          <w:rFonts w:ascii="Arial" w:hAnsi="Arial" w:cs="Arial"/>
          <w:lang w:val="en-US"/>
        </w:rPr>
        <w:t xml:space="preserve"> and discussed in last RAN2 meeting</w:t>
      </w:r>
      <w:r w:rsidR="002575AD">
        <w:rPr>
          <w:rFonts w:ascii="Arial" w:hAnsi="Arial" w:cs="Arial"/>
          <w:lang w:val="en-US"/>
        </w:rPr>
        <w:t>s</w:t>
      </w:r>
      <w:r w:rsidR="00103445" w:rsidRPr="00103445">
        <w:rPr>
          <w:rFonts w:ascii="Arial" w:hAnsi="Arial" w:cs="Arial"/>
          <w:lang w:val="en-US"/>
        </w:rPr>
        <w:t xml:space="preserve">. </w:t>
      </w:r>
      <w:r w:rsidR="00D33FC6">
        <w:rPr>
          <w:rFonts w:ascii="Arial" w:hAnsi="Arial" w:cs="Arial"/>
          <w:lang w:val="en-US"/>
        </w:rPr>
        <w:t xml:space="preserve">Most companies believe that </w:t>
      </w:r>
      <w:r w:rsidR="00103445" w:rsidRPr="00103445">
        <w:rPr>
          <w:rFonts w:ascii="Arial" w:hAnsi="Arial" w:cs="Arial"/>
          <w:lang w:val="en-US"/>
        </w:rPr>
        <w:t xml:space="preserve">6G should </w:t>
      </w:r>
      <w:r w:rsidR="00D33FC6">
        <w:rPr>
          <w:rFonts w:ascii="Arial" w:hAnsi="Arial" w:cs="Arial"/>
          <w:lang w:val="en-US"/>
        </w:rPr>
        <w:t xml:space="preserve">have a </w:t>
      </w:r>
      <w:r w:rsidR="00103445" w:rsidRPr="00103445">
        <w:rPr>
          <w:rFonts w:ascii="Arial" w:hAnsi="Arial" w:cs="Arial"/>
          <w:lang w:val="en-US"/>
        </w:rPr>
        <w:t xml:space="preserve">generic mobility procedure to cope with various scenarios, also to avoid redundant configurations or </w:t>
      </w:r>
      <w:r w:rsidR="00103445" w:rsidRPr="004F5277">
        <w:rPr>
          <w:rFonts w:ascii="Arial" w:hAnsi="Arial" w:cs="Arial"/>
          <w:lang w:val="en-US"/>
        </w:rPr>
        <w:t>additional network/UE procedure</w:t>
      </w:r>
      <w:r w:rsidR="00484F59" w:rsidRPr="004F5277">
        <w:rPr>
          <w:rFonts w:ascii="Arial" w:hAnsi="Arial" w:cs="Arial"/>
          <w:lang w:val="en-US"/>
        </w:rPr>
        <w:t>s</w:t>
      </w:r>
      <w:r w:rsidR="00103445" w:rsidRPr="00103445">
        <w:rPr>
          <w:rFonts w:ascii="Arial" w:hAnsi="Arial" w:cs="Arial"/>
          <w:lang w:val="en-US"/>
        </w:rPr>
        <w:t xml:space="preserve">. </w:t>
      </w:r>
    </w:p>
    <w:p w14:paraId="4A845F3D" w14:textId="77777777" w:rsidR="008B44E7" w:rsidRDefault="008B44E7" w:rsidP="00E87E02">
      <w:pPr>
        <w:spacing w:after="0"/>
        <w:jc w:val="both"/>
        <w:rPr>
          <w:rFonts w:ascii="Arial" w:eastAsia="SimSun" w:hAnsi="Arial" w:cs="Arial"/>
          <w:lang w:val="en-US"/>
        </w:rPr>
      </w:pPr>
    </w:p>
    <w:p w14:paraId="2CA0B667" w14:textId="024544F4" w:rsidR="009B3AC3" w:rsidRDefault="009B3AC3" w:rsidP="009B3AC3">
      <w:pPr>
        <w:spacing w:after="0"/>
        <w:jc w:val="both"/>
        <w:rPr>
          <w:rFonts w:ascii="Arial" w:hAnsi="Arial" w:cs="Arial"/>
          <w:lang w:val="en-US"/>
        </w:rPr>
      </w:pPr>
      <w:r>
        <w:rPr>
          <w:rFonts w:ascii="Arial" w:hAnsi="Arial" w:cs="Arial"/>
          <w:lang w:val="en-US"/>
        </w:rPr>
        <w:t xml:space="preserve">In additional to “unification”, we think </w:t>
      </w:r>
      <w:r w:rsidRPr="002575AD">
        <w:rPr>
          <w:rFonts w:ascii="Arial" w:hAnsi="Arial" w:cs="Arial"/>
          <w:i/>
          <w:iCs/>
          <w:lang w:val="en-US"/>
        </w:rPr>
        <w:t>forward compatibility</w:t>
      </w:r>
      <w:r>
        <w:rPr>
          <w:rFonts w:ascii="Arial" w:hAnsi="Arial" w:cs="Arial"/>
          <w:lang w:val="en-US"/>
        </w:rPr>
        <w:t xml:space="preserve"> is an important </w:t>
      </w:r>
      <w:r w:rsidR="00A47390">
        <w:rPr>
          <w:rFonts w:ascii="Arial" w:hAnsi="Arial" w:cs="Arial"/>
          <w:lang w:val="en-US"/>
        </w:rPr>
        <w:t>aspect</w:t>
      </w:r>
      <w:r>
        <w:rPr>
          <w:rFonts w:ascii="Arial" w:hAnsi="Arial" w:cs="Arial"/>
          <w:lang w:val="en-US"/>
        </w:rPr>
        <w:t xml:space="preserve"> in mobility design. The lack of sufficient forward compatibility in 5G NR has led to duplicate functions in subsequent mobility features</w:t>
      </w:r>
      <w:r>
        <w:rPr>
          <w:rFonts w:ascii="Arial" w:hAnsi="Arial" w:cs="Arial"/>
        </w:rPr>
        <w:t xml:space="preserve"> </w:t>
      </w:r>
      <w:r>
        <w:rPr>
          <w:rFonts w:ascii="Arial" w:hAnsi="Arial" w:cs="Arial"/>
          <w:lang w:val="en-US"/>
        </w:rPr>
        <w:t>and also resulted in incompatibility between different mobility procedures.</w:t>
      </w:r>
      <w:r>
        <w:rPr>
          <w:rFonts w:ascii="Arial" w:hAnsi="Arial" w:cs="Arial"/>
        </w:rPr>
        <w:t xml:space="preserve"> For </w:t>
      </w:r>
      <w:r>
        <w:rPr>
          <w:rFonts w:ascii="Arial" w:hAnsi="Arial" w:cs="Arial"/>
          <w:lang w:val="en-US"/>
        </w:rPr>
        <w:t>example, the co-existence of CHO and LTM needs to be discussed, rather than being naturally integrated.</w:t>
      </w:r>
    </w:p>
    <w:p w14:paraId="2C8248B0" w14:textId="77777777" w:rsidR="009B3AC3" w:rsidRDefault="009B3AC3" w:rsidP="009B3AC3">
      <w:pPr>
        <w:spacing w:after="0"/>
        <w:jc w:val="both"/>
        <w:rPr>
          <w:rFonts w:ascii="Arial" w:hAnsi="Arial" w:cs="Arial"/>
          <w:lang w:val="en-US"/>
        </w:rPr>
      </w:pPr>
    </w:p>
    <w:p w14:paraId="072AFD2A" w14:textId="7367D37C" w:rsidR="009B3AC3" w:rsidRDefault="009B3AC3" w:rsidP="009B3AC3">
      <w:pPr>
        <w:spacing w:after="0"/>
        <w:jc w:val="both"/>
        <w:rPr>
          <w:rFonts w:ascii="Arial" w:hAnsi="Arial" w:cs="Arial"/>
          <w:lang w:val="en-US"/>
        </w:rPr>
      </w:pPr>
      <w:r>
        <w:rPr>
          <w:rFonts w:ascii="Arial" w:hAnsi="Arial" w:cs="Arial"/>
          <w:lang w:val="en-US"/>
        </w:rPr>
        <w:t xml:space="preserve">To ensure forward compatibility, the mobility framework should be modularized with different steps. </w:t>
      </w:r>
      <w:r w:rsidR="0076020D">
        <w:rPr>
          <w:rFonts w:ascii="Arial" w:hAnsi="Arial" w:cs="Arial"/>
          <w:lang w:val="en-US"/>
        </w:rPr>
        <w:t xml:space="preserve">RAN2 should not create a new procedure every time we want to improve some part of mobility functionality. Instead, enhancement on different “mobility module” could be considered. </w:t>
      </w:r>
      <w:r w:rsidRPr="00B063CD">
        <w:rPr>
          <w:rFonts w:ascii="Arial" w:hAnsi="Arial" w:cs="Arial"/>
          <w:lang w:val="en-US"/>
        </w:rPr>
        <w:t>At the configuration level, extensions should be added as interfaces</w:t>
      </w:r>
      <w:r w:rsidRPr="00B063CD">
        <w:rPr>
          <w:rFonts w:ascii="Arial" w:hAnsi="Arial" w:cs="Arial"/>
        </w:rPr>
        <w:t xml:space="preserve"> </w:t>
      </w:r>
      <w:r w:rsidRPr="00B063CD">
        <w:rPr>
          <w:rFonts w:ascii="Arial" w:hAnsi="Arial" w:cs="Arial"/>
          <w:lang w:val="en-US"/>
        </w:rPr>
        <w:t xml:space="preserve">so new features could plug in without redundant configuration (e.g., avoid splitting </w:t>
      </w:r>
      <w:r w:rsidRPr="00B063CD">
        <w:rPr>
          <w:rFonts w:ascii="Arial" w:hAnsi="Arial" w:cs="Arial"/>
          <w:i/>
          <w:iCs/>
          <w:lang w:val="en-US"/>
        </w:rPr>
        <w:t>LTM</w:t>
      </w:r>
      <w:r w:rsidRPr="00B063CD">
        <w:rPr>
          <w:rFonts w:ascii="Arial" w:eastAsia="MS Mincho" w:hAnsi="Arial" w:cs="Arial"/>
          <w:i/>
          <w:iCs/>
          <w:lang w:val="en-US"/>
        </w:rPr>
        <w:noBreakHyphen/>
      </w:r>
      <w:r w:rsidRPr="00B063CD">
        <w:rPr>
          <w:rFonts w:ascii="Arial" w:hAnsi="Arial" w:cs="Arial"/>
          <w:i/>
          <w:iCs/>
          <w:lang w:val="en-US"/>
        </w:rPr>
        <w:t>CSI</w:t>
      </w:r>
      <w:r w:rsidRPr="00B063CD">
        <w:rPr>
          <w:rFonts w:ascii="Arial" w:eastAsia="MS Mincho" w:hAnsi="Arial" w:cs="Arial"/>
          <w:i/>
          <w:iCs/>
          <w:lang w:val="en-US"/>
        </w:rPr>
        <w:noBreakHyphen/>
      </w:r>
      <w:proofErr w:type="spellStart"/>
      <w:r w:rsidRPr="00B063CD">
        <w:rPr>
          <w:rFonts w:ascii="Arial" w:hAnsi="Arial" w:cs="Arial"/>
          <w:i/>
          <w:iCs/>
          <w:lang w:val="en-US"/>
        </w:rPr>
        <w:t>ResourceConfig</w:t>
      </w:r>
      <w:proofErr w:type="spellEnd"/>
      <w:r w:rsidRPr="00B063CD">
        <w:rPr>
          <w:rFonts w:ascii="Arial" w:hAnsi="Arial" w:cs="Arial"/>
          <w:lang w:val="en-US"/>
        </w:rPr>
        <w:t xml:space="preserve"> vs. </w:t>
      </w:r>
      <w:r w:rsidRPr="00B063CD">
        <w:rPr>
          <w:rFonts w:ascii="Arial" w:hAnsi="Arial" w:cs="Arial"/>
          <w:i/>
          <w:iCs/>
          <w:lang w:val="en-US"/>
        </w:rPr>
        <w:t>CSI</w:t>
      </w:r>
      <w:r w:rsidRPr="00B063CD">
        <w:rPr>
          <w:rFonts w:ascii="Arial" w:eastAsia="MS Mincho" w:hAnsi="Arial" w:cs="Arial"/>
          <w:i/>
          <w:iCs/>
          <w:lang w:val="en-US"/>
        </w:rPr>
        <w:noBreakHyphen/>
      </w:r>
      <w:proofErr w:type="spellStart"/>
      <w:r w:rsidRPr="00B063CD">
        <w:rPr>
          <w:rFonts w:ascii="Arial" w:hAnsi="Arial" w:cs="Arial"/>
          <w:i/>
          <w:iCs/>
          <w:lang w:val="en-US"/>
        </w:rPr>
        <w:t>ResourceConfig</w:t>
      </w:r>
      <w:proofErr w:type="spellEnd"/>
      <w:r w:rsidRPr="00B063CD">
        <w:rPr>
          <w:rFonts w:ascii="Arial" w:hAnsi="Arial" w:cs="Arial"/>
          <w:lang w:val="en-US"/>
        </w:rPr>
        <w:t xml:space="preserve"> as NR did).</w:t>
      </w:r>
    </w:p>
    <w:p w14:paraId="173EEB09" w14:textId="77777777" w:rsidR="009B3AC3" w:rsidRDefault="009B3AC3" w:rsidP="009B3AC3">
      <w:pPr>
        <w:spacing w:after="0"/>
        <w:jc w:val="both"/>
        <w:rPr>
          <w:rFonts w:ascii="Arial" w:hAnsi="Arial" w:cs="Arial"/>
          <w:lang w:val="en-US"/>
        </w:rPr>
      </w:pPr>
    </w:p>
    <w:p w14:paraId="50846B31" w14:textId="17B928C3" w:rsidR="009B3AC3" w:rsidRDefault="00E45E90" w:rsidP="009B3AC3">
      <w:pPr>
        <w:spacing w:after="0"/>
        <w:jc w:val="both"/>
        <w:rPr>
          <w:rFonts w:ascii="Arial" w:hAnsi="Arial" w:cs="Arial"/>
          <w:b/>
          <w:bCs/>
          <w:lang w:val="en-US"/>
        </w:rPr>
      </w:pPr>
      <w:r>
        <w:rPr>
          <w:rFonts w:ascii="Arial" w:hAnsi="Arial" w:cs="Arial"/>
          <w:b/>
          <w:bCs/>
          <w:lang w:val="en-US"/>
        </w:rPr>
        <w:t>Proposal</w:t>
      </w:r>
      <w:r w:rsidR="009B3AC3">
        <w:rPr>
          <w:rFonts w:ascii="Arial" w:hAnsi="Arial" w:cs="Arial"/>
          <w:b/>
          <w:bCs/>
          <w:lang w:val="en-US"/>
        </w:rPr>
        <w:t xml:space="preserve"> </w:t>
      </w:r>
      <w:r w:rsidR="009422C0">
        <w:rPr>
          <w:rFonts w:ascii="Arial" w:hAnsi="Arial" w:cs="Arial"/>
          <w:b/>
          <w:bCs/>
          <w:lang w:val="en-US"/>
        </w:rPr>
        <w:t>5</w:t>
      </w:r>
      <w:r w:rsidR="009B3AC3">
        <w:rPr>
          <w:rFonts w:ascii="Arial" w:hAnsi="Arial" w:cs="Arial"/>
          <w:b/>
          <w:bCs/>
          <w:lang w:val="en-US"/>
        </w:rPr>
        <w:t xml:space="preserve">: </w:t>
      </w:r>
      <w:r w:rsidRPr="00E45E90">
        <w:rPr>
          <w:rFonts w:ascii="Arial" w:hAnsi="Arial" w:cs="Arial"/>
          <w:b/>
          <w:bCs/>
          <w:lang w:val="en-US"/>
        </w:rPr>
        <w:t xml:space="preserve">RAN2 to study a 6G mobility procedure with forward compatibility. </w:t>
      </w:r>
      <w:r>
        <w:rPr>
          <w:rFonts w:ascii="Arial" w:hAnsi="Arial" w:cs="Arial"/>
          <w:b/>
          <w:bCs/>
          <w:lang w:val="en-US"/>
        </w:rPr>
        <w:t xml:space="preserve">The intention is </w:t>
      </w:r>
      <w:r w:rsidR="002575AD" w:rsidRPr="002575AD">
        <w:rPr>
          <w:rFonts w:ascii="Arial" w:hAnsi="Arial" w:cs="Arial"/>
          <w:b/>
          <w:bCs/>
          <w:lang w:val="en-US"/>
        </w:rPr>
        <w:t xml:space="preserve">NOT </w:t>
      </w:r>
      <w:r>
        <w:rPr>
          <w:rFonts w:ascii="Arial" w:hAnsi="Arial" w:cs="Arial"/>
          <w:b/>
          <w:bCs/>
          <w:lang w:val="en-US"/>
        </w:rPr>
        <w:t xml:space="preserve">to </w:t>
      </w:r>
      <w:r w:rsidR="002575AD" w:rsidRPr="002575AD">
        <w:rPr>
          <w:rFonts w:ascii="Arial" w:hAnsi="Arial" w:cs="Arial"/>
          <w:b/>
          <w:bCs/>
          <w:lang w:val="en-US"/>
        </w:rPr>
        <w:t>create a new procedure every time we want to improve some part of mobility functionality</w:t>
      </w:r>
      <w:r>
        <w:rPr>
          <w:rFonts w:ascii="Arial" w:hAnsi="Arial" w:cs="Arial"/>
          <w:b/>
          <w:bCs/>
          <w:lang w:val="en-US"/>
        </w:rPr>
        <w:t xml:space="preserve"> in later releases</w:t>
      </w:r>
      <w:r w:rsidR="002575AD">
        <w:rPr>
          <w:rFonts w:ascii="Arial" w:hAnsi="Arial" w:cs="Arial"/>
          <w:b/>
          <w:bCs/>
          <w:lang w:val="en-US"/>
        </w:rPr>
        <w:t>.</w:t>
      </w:r>
    </w:p>
    <w:p w14:paraId="5093658B" w14:textId="77777777" w:rsidR="00D33FC6" w:rsidRDefault="00D33FC6" w:rsidP="00E87E02">
      <w:pPr>
        <w:spacing w:after="0"/>
        <w:jc w:val="both"/>
        <w:rPr>
          <w:rFonts w:ascii="Arial" w:eastAsia="SimSun" w:hAnsi="Arial" w:cs="Arial"/>
          <w:lang w:val="en-US"/>
        </w:rPr>
      </w:pPr>
    </w:p>
    <w:p w14:paraId="312CFF4D" w14:textId="6A3DA4C5" w:rsidR="00F40D53" w:rsidRDefault="004F5277" w:rsidP="00E87E02">
      <w:pPr>
        <w:spacing w:after="0"/>
        <w:jc w:val="both"/>
        <w:rPr>
          <w:rFonts w:ascii="Arial" w:eastAsia="SimSun" w:hAnsi="Arial" w:cs="Arial"/>
          <w:lang w:val="en-US"/>
        </w:rPr>
      </w:pPr>
      <w:r>
        <w:rPr>
          <w:rFonts w:ascii="Arial" w:eastAsia="SimSun" w:hAnsi="Arial" w:cs="Arial"/>
          <w:lang w:val="en-US"/>
        </w:rPr>
        <w:t xml:space="preserve">Taking NR </w:t>
      </w:r>
      <w:r w:rsidR="00000354">
        <w:rPr>
          <w:rFonts w:ascii="Arial" w:eastAsia="SimSun" w:hAnsi="Arial" w:cs="Arial"/>
          <w:lang w:val="en-US"/>
        </w:rPr>
        <w:t xml:space="preserve">L3 HO, CHO, </w:t>
      </w:r>
      <w:r>
        <w:rPr>
          <w:rFonts w:ascii="Arial" w:eastAsia="SimSun" w:hAnsi="Arial" w:cs="Arial"/>
          <w:lang w:val="en-US"/>
        </w:rPr>
        <w:t>LTM</w:t>
      </w:r>
      <w:r w:rsidR="00000354">
        <w:rPr>
          <w:rFonts w:ascii="Arial" w:eastAsia="SimSun" w:hAnsi="Arial" w:cs="Arial"/>
          <w:lang w:val="en-US"/>
        </w:rPr>
        <w:t>, C-</w:t>
      </w:r>
      <w:r w:rsidR="00D84959">
        <w:rPr>
          <w:rFonts w:ascii="Arial" w:eastAsia="SimSun" w:hAnsi="Arial" w:cs="Arial"/>
          <w:lang w:val="en-US"/>
        </w:rPr>
        <w:t>L</w:t>
      </w:r>
      <w:r w:rsidR="00000354">
        <w:rPr>
          <w:rFonts w:ascii="Arial" w:eastAsia="SimSun" w:hAnsi="Arial" w:cs="Arial"/>
          <w:lang w:val="en-US"/>
        </w:rPr>
        <w:t xml:space="preserve">TM into consideration, </w:t>
      </w:r>
      <w:r>
        <w:rPr>
          <w:rFonts w:ascii="Arial" w:eastAsia="SimSun" w:hAnsi="Arial" w:cs="Arial"/>
          <w:lang w:val="en-US"/>
        </w:rPr>
        <w:t>we believe that 6G mobility could include below steps:</w:t>
      </w:r>
    </w:p>
    <w:p w14:paraId="3C1DE145" w14:textId="712CBCBC" w:rsidR="00965EFF" w:rsidRDefault="00965EFF">
      <w:pPr>
        <w:pStyle w:val="ListParagraph"/>
        <w:numPr>
          <w:ilvl w:val="0"/>
          <w:numId w:val="7"/>
        </w:numPr>
        <w:rPr>
          <w:rFonts w:ascii="Arial" w:hAnsi="Arial" w:cs="Arial"/>
          <w:sz w:val="20"/>
          <w:szCs w:val="20"/>
        </w:rPr>
      </w:pPr>
      <w:r>
        <w:rPr>
          <w:rFonts w:ascii="Arial" w:hAnsi="Arial" w:cs="Arial"/>
          <w:sz w:val="20"/>
          <w:szCs w:val="20"/>
        </w:rPr>
        <w:t xml:space="preserve">Mobility </w:t>
      </w:r>
      <w:r w:rsidR="00000354">
        <w:rPr>
          <w:rFonts w:ascii="Arial" w:hAnsi="Arial" w:cs="Arial"/>
          <w:sz w:val="20"/>
          <w:szCs w:val="20"/>
        </w:rPr>
        <w:t>P</w:t>
      </w:r>
      <w:r>
        <w:rPr>
          <w:rFonts w:ascii="Arial" w:hAnsi="Arial" w:cs="Arial"/>
          <w:sz w:val="20"/>
          <w:szCs w:val="20"/>
        </w:rPr>
        <w:t>re-configuration</w:t>
      </w:r>
    </w:p>
    <w:p w14:paraId="6157E12A" w14:textId="0B668BA3" w:rsidR="00965EFF" w:rsidRDefault="00965EFF">
      <w:pPr>
        <w:pStyle w:val="ListParagraph"/>
        <w:numPr>
          <w:ilvl w:val="1"/>
          <w:numId w:val="7"/>
        </w:numPr>
        <w:jc w:val="both"/>
        <w:rPr>
          <w:rFonts w:ascii="Arial" w:hAnsi="Arial" w:cs="Arial"/>
          <w:sz w:val="20"/>
          <w:szCs w:val="20"/>
          <w:lang w:val="en-US"/>
        </w:rPr>
      </w:pPr>
      <w:r>
        <w:rPr>
          <w:rFonts w:ascii="Arial" w:hAnsi="Arial" w:cs="Arial"/>
          <w:sz w:val="20"/>
          <w:szCs w:val="20"/>
          <w:lang w:val="en-US"/>
        </w:rPr>
        <w:t xml:space="preserve">In NR, the candidate pre-configuration was introduced in Rel-16 CHO, Rel-18 LTM and Rel-19 CLTM. The main purposes of introducing candidate pre-configuration are twofold: to support conditional </w:t>
      </w:r>
      <w:r>
        <w:rPr>
          <w:rFonts w:ascii="Arial" w:hAnsi="Arial" w:cs="Arial"/>
          <w:sz w:val="20"/>
          <w:szCs w:val="20"/>
          <w:lang w:val="en-US"/>
        </w:rPr>
        <w:lastRenderedPageBreak/>
        <w:t>mobility (CHO, CLTM) and fast switching of LTM. For a 6G generic mobility procedure, to support fast switching and conditional mobility, candidate configuration should be supported.</w:t>
      </w:r>
    </w:p>
    <w:p w14:paraId="036604F1" w14:textId="77777777" w:rsidR="00965EFF" w:rsidRDefault="00965EFF">
      <w:pPr>
        <w:pStyle w:val="ListParagraph"/>
        <w:numPr>
          <w:ilvl w:val="1"/>
          <w:numId w:val="7"/>
        </w:numPr>
        <w:jc w:val="both"/>
        <w:rPr>
          <w:rFonts w:ascii="Arial" w:hAnsi="Arial" w:cs="Arial"/>
          <w:sz w:val="20"/>
          <w:szCs w:val="20"/>
          <w:lang w:val="en-US"/>
        </w:rPr>
      </w:pPr>
      <w:r>
        <w:rPr>
          <w:rFonts w:ascii="Arial" w:hAnsi="Arial" w:cs="Arial"/>
          <w:sz w:val="20"/>
          <w:szCs w:val="20"/>
          <w:lang w:val="en-US"/>
        </w:rPr>
        <w:t>For conditional mobility, candidate configuration must be paired with mobility-triggering conditions. These conditions define triggers on candidates to enable UE-initiated mobility without explicit network indication.</w:t>
      </w:r>
    </w:p>
    <w:p w14:paraId="7BD84E9D" w14:textId="395B1CC6" w:rsidR="00965EFF" w:rsidRDefault="00965EFF">
      <w:pPr>
        <w:pStyle w:val="ListParagraph"/>
        <w:numPr>
          <w:ilvl w:val="0"/>
          <w:numId w:val="7"/>
        </w:numPr>
        <w:rPr>
          <w:rFonts w:ascii="Arial" w:hAnsi="Arial" w:cs="Arial"/>
          <w:sz w:val="20"/>
          <w:szCs w:val="20"/>
        </w:rPr>
      </w:pPr>
      <w:r>
        <w:rPr>
          <w:rFonts w:ascii="Arial" w:hAnsi="Arial" w:cs="Arial"/>
          <w:sz w:val="20"/>
          <w:szCs w:val="20"/>
        </w:rPr>
        <w:t xml:space="preserve">Mobility </w:t>
      </w:r>
      <w:r w:rsidR="00000354">
        <w:rPr>
          <w:rFonts w:ascii="Arial" w:hAnsi="Arial" w:cs="Arial"/>
          <w:sz w:val="20"/>
          <w:szCs w:val="20"/>
        </w:rPr>
        <w:t>P</w:t>
      </w:r>
      <w:r>
        <w:rPr>
          <w:rFonts w:ascii="Arial" w:hAnsi="Arial" w:cs="Arial"/>
          <w:sz w:val="20"/>
          <w:szCs w:val="20"/>
        </w:rPr>
        <w:t xml:space="preserve">re-processing </w:t>
      </w:r>
    </w:p>
    <w:p w14:paraId="344CDEAA" w14:textId="78079AF8" w:rsidR="00965EFF" w:rsidRDefault="00965EFF">
      <w:pPr>
        <w:pStyle w:val="ListParagraph"/>
        <w:numPr>
          <w:ilvl w:val="1"/>
          <w:numId w:val="7"/>
        </w:numPr>
        <w:jc w:val="both"/>
        <w:rPr>
          <w:rFonts w:ascii="Arial" w:eastAsia="SimSun" w:hAnsi="Arial" w:cs="Arial"/>
          <w:sz w:val="20"/>
          <w:szCs w:val="20"/>
          <w:lang w:val="en-US"/>
        </w:rPr>
      </w:pPr>
      <w:r>
        <w:rPr>
          <w:rFonts w:ascii="Arial" w:hAnsi="Arial" w:cs="Arial"/>
          <w:sz w:val="20"/>
          <w:szCs w:val="20"/>
          <w:lang w:val="en-US"/>
        </w:rPr>
        <w:t xml:space="preserve">To improve mobility performance, NR mobility procedure may optionally include the following steps:  early DL/UL synchronization, early UE configuration processing, and early CSI acquisition. </w:t>
      </w:r>
      <w:r>
        <w:rPr>
          <w:rFonts w:ascii="Arial" w:eastAsia="SimSun" w:hAnsi="Arial" w:cs="Arial"/>
          <w:sz w:val="20"/>
          <w:szCs w:val="20"/>
          <w:lang w:val="en-US"/>
        </w:rPr>
        <w:t>These mechanisms primarily aim to reduce the interruption and throughput degradation during switching. However, it's impractical to perform all these preparations for every candidate. Therefore, the implementation of pre-processing also requires further interaction with the network to narrow down the range of target.</w:t>
      </w:r>
    </w:p>
    <w:p w14:paraId="0406DC87" w14:textId="5C647365" w:rsidR="00965EFF" w:rsidRDefault="00965EFF">
      <w:pPr>
        <w:pStyle w:val="ListParagraph"/>
        <w:numPr>
          <w:ilvl w:val="1"/>
          <w:numId w:val="7"/>
        </w:numPr>
        <w:jc w:val="both"/>
        <w:rPr>
          <w:rFonts w:ascii="Arial" w:hAnsi="Arial" w:cs="Arial"/>
          <w:sz w:val="20"/>
          <w:szCs w:val="20"/>
          <w:lang w:val="en-US"/>
        </w:rPr>
      </w:pPr>
      <w:r>
        <w:rPr>
          <w:rFonts w:ascii="Arial" w:hAnsi="Arial" w:cs="Arial"/>
          <w:sz w:val="20"/>
          <w:szCs w:val="20"/>
          <w:lang w:val="en-US"/>
        </w:rPr>
        <w:t xml:space="preserve">If conditional mobility is </w:t>
      </w:r>
      <w:r w:rsidR="00A93266">
        <w:rPr>
          <w:rFonts w:ascii="Arial" w:hAnsi="Arial" w:cs="Arial"/>
          <w:sz w:val="20"/>
          <w:szCs w:val="20"/>
          <w:lang w:val="en-US"/>
        </w:rPr>
        <w:t>used</w:t>
      </w:r>
      <w:r>
        <w:rPr>
          <w:rFonts w:ascii="Arial" w:hAnsi="Arial" w:cs="Arial"/>
          <w:sz w:val="20"/>
          <w:szCs w:val="20"/>
          <w:lang w:val="en-US"/>
        </w:rPr>
        <w:t>, the</w:t>
      </w:r>
      <w:r>
        <w:rPr>
          <w:rFonts w:ascii="Arial" w:hAnsi="Arial" w:cs="Arial"/>
          <w:sz w:val="20"/>
          <w:szCs w:val="20"/>
        </w:rPr>
        <w:t xml:space="preserve"> </w:t>
      </w:r>
      <w:r>
        <w:rPr>
          <w:rFonts w:ascii="Arial" w:hAnsi="Arial" w:cs="Arial"/>
          <w:sz w:val="20"/>
          <w:szCs w:val="20"/>
          <w:lang w:val="en-US"/>
        </w:rPr>
        <w:t xml:space="preserve">event evaluation for mobility triggering is performed. </w:t>
      </w:r>
    </w:p>
    <w:p w14:paraId="1646E66F" w14:textId="56B0FA4B" w:rsidR="00965EFF" w:rsidRDefault="004C0AB7">
      <w:pPr>
        <w:pStyle w:val="ListParagraph"/>
        <w:numPr>
          <w:ilvl w:val="0"/>
          <w:numId w:val="7"/>
        </w:numPr>
        <w:rPr>
          <w:rFonts w:ascii="Arial" w:hAnsi="Arial" w:cs="Arial"/>
          <w:sz w:val="20"/>
          <w:szCs w:val="20"/>
        </w:rPr>
      </w:pPr>
      <w:r>
        <w:rPr>
          <w:rFonts w:ascii="Arial" w:hAnsi="Arial" w:cs="Arial"/>
          <w:sz w:val="20"/>
          <w:szCs w:val="20"/>
        </w:rPr>
        <w:t xml:space="preserve">Mobility </w:t>
      </w:r>
      <w:r w:rsidR="00965EFF">
        <w:rPr>
          <w:rFonts w:ascii="Arial" w:hAnsi="Arial" w:cs="Arial"/>
          <w:sz w:val="20"/>
          <w:szCs w:val="20"/>
        </w:rPr>
        <w:t>Triggering</w:t>
      </w:r>
    </w:p>
    <w:p w14:paraId="3902FD6D" w14:textId="54BD00B1" w:rsidR="00965EFF" w:rsidRDefault="00A93266">
      <w:pPr>
        <w:pStyle w:val="ListParagraph"/>
        <w:numPr>
          <w:ilvl w:val="1"/>
          <w:numId w:val="7"/>
        </w:numPr>
        <w:jc w:val="both"/>
        <w:rPr>
          <w:rFonts w:ascii="Arial" w:hAnsi="Arial" w:cs="Arial"/>
          <w:sz w:val="20"/>
          <w:szCs w:val="20"/>
        </w:rPr>
      </w:pPr>
      <w:r w:rsidRPr="00A93266">
        <w:rPr>
          <w:rFonts w:ascii="Arial" w:hAnsi="Arial" w:cs="Arial"/>
          <w:sz w:val="20"/>
          <w:szCs w:val="20"/>
        </w:rPr>
        <w:t>In NR, mobility triggering can be initiated by the network or by the UE. Conditional mobility has demonstrated reliability gains and more UE flexibility. These benefits could be further amplified in 6G scenarios (e.g., direction/distance/location info in NTN scenario for mobility triggering). In last meeting, RAN2 already agreed to study conditional mobility and considering mobility robustness as design target. We believe that conditional mobility should also be supported in 6G Day-1 as a complement to NW-triggered mobility.</w:t>
      </w:r>
    </w:p>
    <w:p w14:paraId="42C114EA" w14:textId="23064437" w:rsidR="00965EFF" w:rsidRDefault="004C0AB7">
      <w:pPr>
        <w:pStyle w:val="ListParagraph"/>
        <w:numPr>
          <w:ilvl w:val="0"/>
          <w:numId w:val="7"/>
        </w:numPr>
        <w:rPr>
          <w:rFonts w:ascii="Arial" w:hAnsi="Arial" w:cs="Arial"/>
          <w:sz w:val="20"/>
          <w:szCs w:val="20"/>
        </w:rPr>
      </w:pPr>
      <w:r>
        <w:rPr>
          <w:rFonts w:ascii="Arial" w:hAnsi="Arial" w:cs="Arial"/>
          <w:sz w:val="20"/>
          <w:szCs w:val="20"/>
        </w:rPr>
        <w:t>Mobility execution</w:t>
      </w:r>
    </w:p>
    <w:p w14:paraId="044C3871" w14:textId="707A5049" w:rsidR="00965EFF" w:rsidRDefault="00965EFF">
      <w:pPr>
        <w:pStyle w:val="ListParagraph"/>
        <w:numPr>
          <w:ilvl w:val="1"/>
          <w:numId w:val="7"/>
        </w:numPr>
        <w:jc w:val="both"/>
        <w:rPr>
          <w:rFonts w:ascii="Arial" w:hAnsi="Arial" w:cs="Arial"/>
          <w:sz w:val="20"/>
          <w:szCs w:val="20"/>
          <w:lang w:val="en-US"/>
        </w:rPr>
      </w:pPr>
      <w:r>
        <w:rPr>
          <w:rFonts w:ascii="Arial" w:hAnsi="Arial" w:cs="Arial"/>
          <w:sz w:val="20"/>
          <w:szCs w:val="20"/>
          <w:lang w:val="en-US"/>
        </w:rPr>
        <w:t xml:space="preserve">In general, </w:t>
      </w:r>
      <w:r w:rsidR="004C0AB7">
        <w:rPr>
          <w:rFonts w:ascii="Arial" w:hAnsi="Arial" w:cs="Arial"/>
          <w:sz w:val="20"/>
          <w:szCs w:val="20"/>
          <w:lang w:val="en-US"/>
        </w:rPr>
        <w:t>this</w:t>
      </w:r>
      <w:r>
        <w:rPr>
          <w:rFonts w:ascii="Arial" w:hAnsi="Arial" w:cs="Arial"/>
          <w:sz w:val="20"/>
          <w:szCs w:val="20"/>
          <w:lang w:val="en-US"/>
        </w:rPr>
        <w:t xml:space="preserve"> refers to the UE’s detachment from the source and attachment to the target. The baseline should consist of the minimal set of actions (such as L1/L2 reconfiguration), while optional components can be added to meet higher performance requirement (e.g., early CSI) or omitted if they were already completed during preparation (e.g., Early DL/UL sync, early UE configuration processing).</w:t>
      </w:r>
    </w:p>
    <w:p w14:paraId="772484BB" w14:textId="77777777" w:rsidR="0076020D" w:rsidRDefault="0076020D" w:rsidP="0076020D">
      <w:pPr>
        <w:spacing w:after="0"/>
        <w:jc w:val="both"/>
        <w:rPr>
          <w:rFonts w:ascii="Arial" w:hAnsi="Arial" w:cs="Arial"/>
          <w:highlight w:val="cyan"/>
          <w:lang w:val="en-US"/>
        </w:rPr>
      </w:pPr>
    </w:p>
    <w:p w14:paraId="4F04EF1F" w14:textId="60FB8E4A" w:rsidR="0076020D" w:rsidRPr="009952BB" w:rsidRDefault="0076020D" w:rsidP="0076020D">
      <w:pPr>
        <w:spacing w:after="0"/>
        <w:jc w:val="both"/>
        <w:rPr>
          <w:rFonts w:ascii="Arial" w:hAnsi="Arial" w:cs="Arial"/>
          <w:b/>
          <w:bCs/>
          <w:lang w:val="en-US"/>
        </w:rPr>
      </w:pPr>
      <w:r w:rsidRPr="009952BB">
        <w:rPr>
          <w:rFonts w:ascii="Arial" w:hAnsi="Arial" w:cs="Arial"/>
          <w:b/>
          <w:bCs/>
          <w:lang w:val="en-US"/>
        </w:rPr>
        <w:t xml:space="preserve">Proposal </w:t>
      </w:r>
      <w:r w:rsidR="00E45E90">
        <w:rPr>
          <w:rFonts w:ascii="Arial" w:hAnsi="Arial" w:cs="Arial"/>
          <w:b/>
          <w:bCs/>
          <w:lang w:val="en-US"/>
        </w:rPr>
        <w:t>6</w:t>
      </w:r>
      <w:r w:rsidRPr="009952BB">
        <w:rPr>
          <w:rFonts w:ascii="Arial" w:hAnsi="Arial" w:cs="Arial"/>
          <w:b/>
          <w:bCs/>
          <w:lang w:val="en-US"/>
        </w:rPr>
        <w:t xml:space="preserve">: </w:t>
      </w:r>
      <w:r w:rsidR="002A0740">
        <w:rPr>
          <w:rFonts w:ascii="Arial" w:hAnsi="Arial" w:cs="Arial"/>
          <w:b/>
          <w:bCs/>
          <w:lang w:val="en-US"/>
        </w:rPr>
        <w:t>As baseline, t</w:t>
      </w:r>
      <w:r w:rsidR="008F18B6">
        <w:rPr>
          <w:rFonts w:ascii="Arial" w:hAnsi="Arial" w:cs="Arial"/>
          <w:b/>
          <w:bCs/>
          <w:lang w:val="en-US"/>
        </w:rPr>
        <w:t xml:space="preserve">he mobility procedure is </w:t>
      </w:r>
      <w:r w:rsidRPr="009952BB">
        <w:rPr>
          <w:rFonts w:ascii="Arial" w:hAnsi="Arial" w:cs="Arial"/>
          <w:b/>
          <w:bCs/>
          <w:lang w:val="en-US"/>
        </w:rPr>
        <w:t>consist</w:t>
      </w:r>
      <w:r w:rsidR="0076231D">
        <w:rPr>
          <w:rFonts w:ascii="Arial" w:hAnsi="Arial" w:cs="Arial"/>
          <w:b/>
          <w:bCs/>
          <w:lang w:val="en-US"/>
        </w:rPr>
        <w:t>ed</w:t>
      </w:r>
      <w:r w:rsidRPr="009952BB">
        <w:rPr>
          <w:rFonts w:ascii="Arial" w:hAnsi="Arial" w:cs="Arial"/>
          <w:b/>
          <w:bCs/>
          <w:lang w:val="en-US"/>
        </w:rPr>
        <w:t xml:space="preserve"> of the following </w:t>
      </w:r>
      <w:r w:rsidR="00C33D35">
        <w:rPr>
          <w:rFonts w:ascii="Arial" w:hAnsi="Arial" w:cs="Arial"/>
          <w:b/>
          <w:bCs/>
          <w:lang w:val="en-US"/>
        </w:rPr>
        <w:t>steps</w:t>
      </w:r>
      <w:r w:rsidRPr="009952BB">
        <w:rPr>
          <w:rFonts w:ascii="Arial" w:hAnsi="Arial" w:cs="Arial"/>
          <w:b/>
          <w:bCs/>
          <w:lang w:val="en-US"/>
        </w:rPr>
        <w:t>:</w:t>
      </w:r>
    </w:p>
    <w:p w14:paraId="0B565567" w14:textId="3ACF683B" w:rsidR="0076020D" w:rsidRPr="009952BB" w:rsidRDefault="005A6658">
      <w:pPr>
        <w:pStyle w:val="ListParagraph"/>
        <w:numPr>
          <w:ilvl w:val="0"/>
          <w:numId w:val="6"/>
        </w:numPr>
        <w:autoSpaceDN w:val="0"/>
        <w:jc w:val="both"/>
        <w:rPr>
          <w:rFonts w:ascii="Arial" w:hAnsi="Arial" w:cs="Arial"/>
          <w:b/>
          <w:bCs/>
          <w:sz w:val="20"/>
          <w:szCs w:val="20"/>
          <w:lang w:val="en-US"/>
        </w:rPr>
      </w:pPr>
      <w:r w:rsidRPr="009952BB">
        <w:rPr>
          <w:rFonts w:ascii="Arial" w:hAnsi="Arial" w:cs="Arial"/>
          <w:b/>
          <w:bCs/>
          <w:sz w:val="20"/>
          <w:szCs w:val="20"/>
          <w:lang w:val="en-US"/>
        </w:rPr>
        <w:t>P</w:t>
      </w:r>
      <w:r w:rsidR="0076020D" w:rsidRPr="009952BB">
        <w:rPr>
          <w:rFonts w:ascii="Arial" w:hAnsi="Arial" w:cs="Arial"/>
          <w:b/>
          <w:bCs/>
          <w:sz w:val="20"/>
          <w:szCs w:val="20"/>
          <w:lang w:val="en-US"/>
        </w:rPr>
        <w:t>re-configuration</w:t>
      </w:r>
      <w:r w:rsidR="00FA448C">
        <w:rPr>
          <w:rFonts w:ascii="Arial" w:hAnsi="Arial" w:cs="Arial"/>
          <w:b/>
          <w:bCs/>
          <w:sz w:val="20"/>
          <w:szCs w:val="20"/>
          <w:lang w:val="en-US"/>
        </w:rPr>
        <w:t xml:space="preserve"> (C</w:t>
      </w:r>
      <w:r w:rsidR="00FA448C" w:rsidRPr="00FA448C">
        <w:rPr>
          <w:rFonts w:ascii="Arial" w:hAnsi="Arial" w:cs="Arial"/>
          <w:b/>
          <w:bCs/>
          <w:sz w:val="20"/>
          <w:szCs w:val="20"/>
          <w:lang w:val="en-US"/>
        </w:rPr>
        <w:t>andidate configurations and triggering conditions</w:t>
      </w:r>
      <w:r w:rsidR="00FA448C">
        <w:rPr>
          <w:rFonts w:ascii="Arial" w:hAnsi="Arial" w:cs="Arial"/>
          <w:b/>
          <w:bCs/>
          <w:sz w:val="20"/>
          <w:szCs w:val="20"/>
          <w:lang w:val="en-US"/>
        </w:rPr>
        <w:t>)</w:t>
      </w:r>
    </w:p>
    <w:p w14:paraId="0A16FB6E" w14:textId="242E8B9C" w:rsidR="0076020D" w:rsidRPr="009952BB" w:rsidRDefault="005A6658">
      <w:pPr>
        <w:pStyle w:val="ListParagraph"/>
        <w:numPr>
          <w:ilvl w:val="0"/>
          <w:numId w:val="6"/>
        </w:numPr>
        <w:autoSpaceDN w:val="0"/>
        <w:jc w:val="both"/>
        <w:rPr>
          <w:rFonts w:ascii="Arial" w:hAnsi="Arial" w:cs="Arial"/>
          <w:b/>
          <w:bCs/>
          <w:sz w:val="20"/>
          <w:szCs w:val="20"/>
          <w:lang w:val="en-US"/>
        </w:rPr>
      </w:pPr>
      <w:r w:rsidRPr="009952BB">
        <w:rPr>
          <w:rFonts w:ascii="Arial" w:hAnsi="Arial" w:cs="Arial"/>
          <w:b/>
          <w:bCs/>
          <w:sz w:val="20"/>
          <w:szCs w:val="20"/>
          <w:lang w:val="en-US"/>
        </w:rPr>
        <w:t>P</w:t>
      </w:r>
      <w:r w:rsidR="0076020D" w:rsidRPr="009952BB">
        <w:rPr>
          <w:rFonts w:ascii="Arial" w:hAnsi="Arial" w:cs="Arial"/>
          <w:b/>
          <w:bCs/>
          <w:sz w:val="20"/>
          <w:szCs w:val="20"/>
          <w:lang w:val="en-US"/>
        </w:rPr>
        <w:t>re-processing</w:t>
      </w:r>
      <w:r w:rsidR="00FA448C">
        <w:rPr>
          <w:rFonts w:ascii="Arial" w:hAnsi="Arial" w:cs="Arial"/>
          <w:b/>
          <w:bCs/>
          <w:sz w:val="20"/>
          <w:szCs w:val="20"/>
          <w:lang w:val="en-US"/>
        </w:rPr>
        <w:t xml:space="preserve"> (</w:t>
      </w:r>
      <w:r w:rsidR="00FA448C" w:rsidRPr="00FA448C">
        <w:rPr>
          <w:rFonts w:ascii="Arial" w:hAnsi="Arial" w:cs="Arial"/>
          <w:b/>
          <w:bCs/>
          <w:sz w:val="20"/>
          <w:szCs w:val="20"/>
          <w:lang w:val="en-US"/>
        </w:rPr>
        <w:t>early DL/UL synchronization</w:t>
      </w:r>
      <w:r w:rsidR="00FA448C">
        <w:rPr>
          <w:rFonts w:ascii="Arial" w:hAnsi="Arial" w:cs="Arial"/>
          <w:b/>
          <w:bCs/>
          <w:sz w:val="20"/>
          <w:szCs w:val="20"/>
          <w:lang w:val="en-US"/>
        </w:rPr>
        <w:t xml:space="preserve">, </w:t>
      </w:r>
      <w:r w:rsidR="00FA448C" w:rsidRPr="00FA448C">
        <w:rPr>
          <w:rFonts w:ascii="Arial" w:hAnsi="Arial" w:cs="Arial"/>
          <w:b/>
          <w:bCs/>
          <w:sz w:val="20"/>
          <w:szCs w:val="20"/>
          <w:lang w:val="en-US"/>
        </w:rPr>
        <w:t>early UE configuration processing, early CSI acquisition</w:t>
      </w:r>
      <w:r w:rsidR="00FA448C">
        <w:rPr>
          <w:rFonts w:ascii="Arial" w:hAnsi="Arial" w:cs="Arial"/>
          <w:b/>
          <w:bCs/>
          <w:sz w:val="20"/>
          <w:szCs w:val="20"/>
          <w:lang w:val="en-US"/>
        </w:rPr>
        <w:t>)</w:t>
      </w:r>
    </w:p>
    <w:p w14:paraId="2EB8687A" w14:textId="020E5539" w:rsidR="0076020D" w:rsidRPr="009952BB" w:rsidRDefault="005A6658">
      <w:pPr>
        <w:pStyle w:val="ListParagraph"/>
        <w:numPr>
          <w:ilvl w:val="0"/>
          <w:numId w:val="6"/>
        </w:numPr>
        <w:autoSpaceDN w:val="0"/>
        <w:jc w:val="both"/>
        <w:rPr>
          <w:rFonts w:ascii="Arial" w:hAnsi="Arial" w:cs="Arial"/>
          <w:b/>
          <w:bCs/>
          <w:sz w:val="20"/>
          <w:szCs w:val="20"/>
          <w:lang w:val="en-US"/>
        </w:rPr>
      </w:pPr>
      <w:r w:rsidRPr="009952BB">
        <w:rPr>
          <w:rFonts w:ascii="Arial" w:hAnsi="Arial" w:cs="Arial"/>
          <w:b/>
          <w:bCs/>
          <w:sz w:val="20"/>
          <w:szCs w:val="20"/>
          <w:lang w:val="en-US"/>
        </w:rPr>
        <w:t>T</w:t>
      </w:r>
      <w:r w:rsidR="0076020D" w:rsidRPr="009952BB">
        <w:rPr>
          <w:rFonts w:ascii="Arial" w:hAnsi="Arial" w:cs="Arial"/>
          <w:b/>
          <w:bCs/>
          <w:sz w:val="20"/>
          <w:szCs w:val="20"/>
          <w:lang w:val="en-US"/>
        </w:rPr>
        <w:t xml:space="preserve">riggering </w:t>
      </w:r>
      <w:r w:rsidR="00FA448C">
        <w:rPr>
          <w:rFonts w:ascii="Arial" w:hAnsi="Arial" w:cs="Arial"/>
          <w:b/>
          <w:bCs/>
          <w:sz w:val="20"/>
          <w:szCs w:val="20"/>
          <w:lang w:val="en-US"/>
        </w:rPr>
        <w:t>(b</w:t>
      </w:r>
      <w:r w:rsidRPr="009952BB">
        <w:rPr>
          <w:rFonts w:ascii="Arial" w:hAnsi="Arial" w:cs="Arial"/>
          <w:b/>
          <w:bCs/>
          <w:sz w:val="20"/>
          <w:szCs w:val="20"/>
          <w:lang w:val="en-US"/>
        </w:rPr>
        <w:t xml:space="preserve">oth </w:t>
      </w:r>
      <w:r w:rsidR="0076020D" w:rsidRPr="009952BB">
        <w:rPr>
          <w:rFonts w:ascii="Arial" w:hAnsi="Arial" w:cs="Arial"/>
          <w:b/>
          <w:bCs/>
          <w:sz w:val="20"/>
          <w:szCs w:val="20"/>
          <w:lang w:val="en-US"/>
        </w:rPr>
        <w:t>network-</w:t>
      </w:r>
      <w:r w:rsidR="00662A2E" w:rsidRPr="009952BB">
        <w:rPr>
          <w:rFonts w:ascii="Arial" w:hAnsi="Arial" w:cs="Arial"/>
          <w:b/>
          <w:bCs/>
          <w:sz w:val="20"/>
          <w:szCs w:val="20"/>
          <w:lang w:val="en-US"/>
        </w:rPr>
        <w:t>initiated</w:t>
      </w:r>
      <w:r w:rsidR="0076020D" w:rsidRPr="009952BB">
        <w:rPr>
          <w:rFonts w:ascii="Arial" w:hAnsi="Arial" w:cs="Arial"/>
          <w:b/>
          <w:bCs/>
          <w:sz w:val="20"/>
          <w:szCs w:val="20"/>
          <w:lang w:val="en-US"/>
        </w:rPr>
        <w:t xml:space="preserve"> </w:t>
      </w:r>
      <w:r w:rsidR="00662A2E" w:rsidRPr="009952BB">
        <w:rPr>
          <w:rFonts w:ascii="Arial" w:hAnsi="Arial" w:cs="Arial"/>
          <w:b/>
          <w:bCs/>
          <w:sz w:val="20"/>
          <w:szCs w:val="20"/>
          <w:lang w:val="en-US"/>
        </w:rPr>
        <w:t xml:space="preserve">and </w:t>
      </w:r>
      <w:r w:rsidR="0076020D" w:rsidRPr="009952BB">
        <w:rPr>
          <w:rFonts w:ascii="Arial" w:hAnsi="Arial" w:cs="Arial"/>
          <w:b/>
          <w:bCs/>
          <w:sz w:val="20"/>
          <w:szCs w:val="20"/>
          <w:lang w:val="en-US"/>
        </w:rPr>
        <w:t>UE-initiated</w:t>
      </w:r>
      <w:r w:rsidR="00FA448C">
        <w:rPr>
          <w:rFonts w:ascii="Arial" w:hAnsi="Arial" w:cs="Arial"/>
          <w:b/>
          <w:bCs/>
          <w:sz w:val="20"/>
          <w:szCs w:val="20"/>
          <w:lang w:val="en-US"/>
        </w:rPr>
        <w:t>)</w:t>
      </w:r>
    </w:p>
    <w:p w14:paraId="738CEF07" w14:textId="7AE82878" w:rsidR="0076020D" w:rsidRPr="009952BB" w:rsidRDefault="005A6658">
      <w:pPr>
        <w:pStyle w:val="ListParagraph"/>
        <w:numPr>
          <w:ilvl w:val="0"/>
          <w:numId w:val="6"/>
        </w:numPr>
        <w:autoSpaceDN w:val="0"/>
        <w:jc w:val="both"/>
        <w:rPr>
          <w:rFonts w:ascii="Arial" w:hAnsi="Arial" w:cs="Arial"/>
          <w:b/>
          <w:bCs/>
          <w:sz w:val="20"/>
          <w:szCs w:val="20"/>
          <w:lang w:val="en-US"/>
        </w:rPr>
      </w:pPr>
      <w:r w:rsidRPr="009952BB">
        <w:rPr>
          <w:rFonts w:ascii="Arial" w:hAnsi="Arial" w:cs="Arial"/>
          <w:b/>
          <w:bCs/>
          <w:sz w:val="20"/>
          <w:szCs w:val="20"/>
          <w:lang w:val="en-US"/>
        </w:rPr>
        <w:t>Execution</w:t>
      </w:r>
      <w:r w:rsidR="0076020D" w:rsidRPr="009952BB">
        <w:rPr>
          <w:rFonts w:ascii="Arial" w:hAnsi="Arial" w:cs="Arial"/>
          <w:b/>
          <w:bCs/>
          <w:sz w:val="20"/>
          <w:szCs w:val="20"/>
          <w:lang w:val="en-US"/>
        </w:rPr>
        <w:t xml:space="preserve"> </w:t>
      </w:r>
    </w:p>
    <w:p w14:paraId="3A2FC09A" w14:textId="77777777" w:rsidR="00441E34" w:rsidRDefault="00441E34" w:rsidP="00A251AA">
      <w:pPr>
        <w:spacing w:after="0"/>
        <w:rPr>
          <w:rFonts w:ascii="Arial" w:hAnsi="Arial" w:cs="Arial"/>
          <w:lang w:val="en-US" w:eastAsia="ko-KR"/>
        </w:rPr>
      </w:pPr>
    </w:p>
    <w:p w14:paraId="1E25DE33" w14:textId="1936B800" w:rsidR="002F3678" w:rsidRDefault="002F3678" w:rsidP="007041C8">
      <w:pPr>
        <w:spacing w:after="0"/>
        <w:jc w:val="both"/>
        <w:rPr>
          <w:rFonts w:ascii="Arial" w:hAnsi="Arial" w:cs="Arial"/>
          <w:lang w:val="en-US" w:eastAsia="ko-KR"/>
        </w:rPr>
      </w:pPr>
      <w:r>
        <w:rPr>
          <w:rFonts w:ascii="Arial" w:hAnsi="Arial" w:cs="Arial"/>
          <w:lang w:val="en-US" w:eastAsia="ko-KR"/>
        </w:rPr>
        <w:t xml:space="preserve">In Rel-18 </w:t>
      </w:r>
      <w:r w:rsidR="00B10188">
        <w:rPr>
          <w:rFonts w:ascii="Arial" w:hAnsi="Arial" w:cs="Arial"/>
          <w:lang w:val="en-US" w:eastAsia="ko-KR"/>
        </w:rPr>
        <w:t xml:space="preserve">LTM, the </w:t>
      </w:r>
      <w:r w:rsidR="00B10188" w:rsidRPr="00B10188">
        <w:rPr>
          <w:rFonts w:ascii="Arial" w:hAnsi="Arial" w:cs="Arial"/>
          <w:lang w:val="en-US" w:eastAsia="ko-KR"/>
        </w:rPr>
        <w:t>subsequent switching</w:t>
      </w:r>
      <w:r w:rsidR="00B10188">
        <w:rPr>
          <w:rFonts w:ascii="Arial" w:hAnsi="Arial" w:cs="Arial"/>
          <w:lang w:val="en-US" w:eastAsia="ko-KR"/>
        </w:rPr>
        <w:t xml:space="preserve"> </w:t>
      </w:r>
      <w:r w:rsidR="005F51E7">
        <w:rPr>
          <w:rFonts w:ascii="Arial" w:hAnsi="Arial" w:cs="Arial"/>
          <w:lang w:val="en-US" w:eastAsia="ko-KR"/>
        </w:rPr>
        <w:t>(</w:t>
      </w:r>
      <w:r w:rsidR="00B10188">
        <w:rPr>
          <w:rFonts w:ascii="Arial" w:hAnsi="Arial" w:cs="Arial"/>
          <w:lang w:val="en-US" w:eastAsia="ko-KR"/>
        </w:rPr>
        <w:t xml:space="preserve">or </w:t>
      </w:r>
      <w:r w:rsidR="00B10188" w:rsidRPr="00B10188">
        <w:rPr>
          <w:rFonts w:ascii="Arial" w:hAnsi="Arial" w:cs="Arial"/>
          <w:lang w:val="en-US" w:eastAsia="ko-KR"/>
        </w:rPr>
        <w:t>subsequent</w:t>
      </w:r>
      <w:r w:rsidR="00B10188">
        <w:rPr>
          <w:rFonts w:ascii="Arial" w:hAnsi="Arial" w:cs="Arial"/>
          <w:lang w:val="en-US" w:eastAsia="ko-KR"/>
        </w:rPr>
        <w:t xml:space="preserve"> mobility</w:t>
      </w:r>
      <w:r w:rsidR="005F51E7">
        <w:rPr>
          <w:rFonts w:ascii="Arial" w:hAnsi="Arial" w:cs="Arial"/>
          <w:lang w:val="en-US" w:eastAsia="ko-KR"/>
        </w:rPr>
        <w:t>)</w:t>
      </w:r>
      <w:r w:rsidR="00B10188">
        <w:rPr>
          <w:rFonts w:ascii="Arial" w:hAnsi="Arial" w:cs="Arial"/>
          <w:lang w:val="en-US" w:eastAsia="ko-KR"/>
        </w:rPr>
        <w:t xml:space="preserve"> functionality is </w:t>
      </w:r>
      <w:r w:rsidR="00B33658">
        <w:rPr>
          <w:rFonts w:ascii="Arial" w:hAnsi="Arial" w:cs="Arial"/>
          <w:lang w:val="en-US" w:eastAsia="ko-KR"/>
        </w:rPr>
        <w:t>introduced</w:t>
      </w:r>
      <w:r w:rsidR="00B10188">
        <w:rPr>
          <w:rFonts w:ascii="Arial" w:hAnsi="Arial" w:cs="Arial"/>
          <w:lang w:val="en-US" w:eastAsia="ko-KR"/>
        </w:rPr>
        <w:t xml:space="preserve">. </w:t>
      </w:r>
      <w:r w:rsidR="007041C8">
        <w:rPr>
          <w:rFonts w:ascii="Arial" w:hAnsi="Arial" w:cs="Arial"/>
          <w:lang w:val="en-US" w:eastAsia="ko-KR"/>
        </w:rPr>
        <w:t xml:space="preserve">The intention is </w:t>
      </w:r>
      <w:r w:rsidR="005F51E7">
        <w:rPr>
          <w:rFonts w:ascii="Arial" w:hAnsi="Arial" w:cs="Arial"/>
          <w:lang w:val="en-US" w:eastAsia="ko-KR"/>
        </w:rPr>
        <w:t xml:space="preserve">to </w:t>
      </w:r>
      <w:r w:rsidR="007041C8">
        <w:rPr>
          <w:rFonts w:ascii="Arial" w:hAnsi="Arial" w:cs="Arial"/>
          <w:lang w:val="en-US" w:eastAsia="ko-KR"/>
        </w:rPr>
        <w:t xml:space="preserve">reduce the additional RRC Reconfiguration after each cell switching. The network only has to provide </w:t>
      </w:r>
      <w:r w:rsidR="005F51E7">
        <w:rPr>
          <w:rFonts w:ascii="Arial" w:hAnsi="Arial" w:cs="Arial"/>
          <w:lang w:val="en-US" w:eastAsia="ko-KR"/>
        </w:rPr>
        <w:t>multiple</w:t>
      </w:r>
      <w:r w:rsidR="007041C8">
        <w:rPr>
          <w:rFonts w:ascii="Arial" w:hAnsi="Arial" w:cs="Arial"/>
          <w:lang w:val="en-US" w:eastAsia="ko-KR"/>
        </w:rPr>
        <w:t xml:space="preserve"> </w:t>
      </w:r>
      <w:r w:rsidR="005F51E7">
        <w:rPr>
          <w:rFonts w:ascii="Arial" w:hAnsi="Arial" w:cs="Arial"/>
          <w:lang w:val="en-US" w:eastAsia="ko-KR"/>
        </w:rPr>
        <w:t>candidate</w:t>
      </w:r>
      <w:r w:rsidR="007041C8">
        <w:rPr>
          <w:rFonts w:ascii="Arial" w:hAnsi="Arial" w:cs="Arial"/>
          <w:lang w:val="en-US" w:eastAsia="ko-KR"/>
        </w:rPr>
        <w:t xml:space="preserve"> cell </w:t>
      </w:r>
      <w:r w:rsidR="005F51E7">
        <w:rPr>
          <w:rFonts w:ascii="Arial" w:hAnsi="Arial" w:cs="Arial"/>
          <w:lang w:val="en-US" w:eastAsia="ko-KR"/>
        </w:rPr>
        <w:t>configurations</w:t>
      </w:r>
      <w:r w:rsidR="007041C8">
        <w:rPr>
          <w:rFonts w:ascii="Arial" w:hAnsi="Arial" w:cs="Arial"/>
          <w:lang w:val="en-US" w:eastAsia="ko-KR"/>
        </w:rPr>
        <w:t xml:space="preserve"> </w:t>
      </w:r>
      <w:r w:rsidR="007041C8" w:rsidRPr="007041C8">
        <w:rPr>
          <w:rFonts w:ascii="Arial" w:hAnsi="Arial" w:cs="Arial"/>
          <w:lang w:val="en-US" w:eastAsia="ko-KR"/>
        </w:rPr>
        <w:t xml:space="preserve">once </w:t>
      </w:r>
      <w:r w:rsidR="00AD4915">
        <w:rPr>
          <w:rFonts w:ascii="Arial" w:hAnsi="Arial" w:cs="Arial"/>
          <w:lang w:val="en-US" w:eastAsia="ko-KR"/>
        </w:rPr>
        <w:t xml:space="preserve">in the beginning </w:t>
      </w:r>
      <w:r w:rsidR="007041C8" w:rsidRPr="007041C8">
        <w:rPr>
          <w:rFonts w:ascii="Arial" w:hAnsi="Arial" w:cs="Arial"/>
          <w:lang w:val="en-US" w:eastAsia="ko-KR"/>
        </w:rPr>
        <w:t xml:space="preserve">and then the UE </w:t>
      </w:r>
      <w:r w:rsidR="005F51E7">
        <w:rPr>
          <w:rFonts w:ascii="Arial" w:hAnsi="Arial" w:cs="Arial"/>
          <w:lang w:val="en-US" w:eastAsia="ko-KR"/>
        </w:rPr>
        <w:t xml:space="preserve">is switched </w:t>
      </w:r>
      <w:r w:rsidR="007041C8" w:rsidRPr="007041C8">
        <w:rPr>
          <w:rFonts w:ascii="Arial" w:hAnsi="Arial" w:cs="Arial"/>
          <w:lang w:val="en-US" w:eastAsia="ko-KR"/>
        </w:rPr>
        <w:t>multiple times between those configurations</w:t>
      </w:r>
      <w:r w:rsidR="005F51E7">
        <w:rPr>
          <w:rFonts w:ascii="Arial" w:hAnsi="Arial" w:cs="Arial"/>
          <w:lang w:val="en-US" w:eastAsia="ko-KR"/>
        </w:rPr>
        <w:t>.</w:t>
      </w:r>
      <w:r w:rsidR="007041C8" w:rsidRPr="007041C8">
        <w:rPr>
          <w:rFonts w:ascii="Arial" w:hAnsi="Arial" w:cs="Arial"/>
          <w:lang w:val="en-US" w:eastAsia="ko-KR"/>
        </w:rPr>
        <w:t xml:space="preserve"> </w:t>
      </w:r>
      <w:r w:rsidR="00082CAA" w:rsidRPr="00082CAA">
        <w:rPr>
          <w:rFonts w:ascii="Arial" w:hAnsi="Arial" w:cs="Arial"/>
          <w:lang w:val="en-US" w:eastAsia="ko-KR"/>
        </w:rPr>
        <w:t>For high frequency, this allows UEs to switch back-and-forth rapidly at the cell edge with reasonable performance</w:t>
      </w:r>
      <w:r w:rsidRPr="002F3678">
        <w:rPr>
          <w:rFonts w:ascii="Arial" w:hAnsi="Arial" w:cs="Arial"/>
          <w:lang w:val="en-US" w:eastAsia="ko-KR"/>
        </w:rPr>
        <w:t>.</w:t>
      </w:r>
    </w:p>
    <w:p w14:paraId="3064ABCC" w14:textId="77777777" w:rsidR="00F84B3A" w:rsidRDefault="00F84B3A" w:rsidP="007041C8">
      <w:pPr>
        <w:spacing w:after="0"/>
        <w:jc w:val="both"/>
        <w:rPr>
          <w:rFonts w:ascii="Arial" w:hAnsi="Arial" w:cs="Arial"/>
          <w:lang w:val="en-US" w:eastAsia="ko-KR"/>
        </w:rPr>
      </w:pPr>
    </w:p>
    <w:p w14:paraId="758874C1" w14:textId="347BA2D9" w:rsidR="00AD4915" w:rsidRDefault="00F84B3A" w:rsidP="007041C8">
      <w:pPr>
        <w:spacing w:after="0"/>
        <w:jc w:val="both"/>
        <w:rPr>
          <w:rFonts w:ascii="Arial" w:hAnsi="Arial" w:cs="Arial"/>
          <w:lang w:val="en-US" w:eastAsia="ko-KR"/>
        </w:rPr>
      </w:pPr>
      <w:r>
        <w:rPr>
          <w:rFonts w:ascii="Arial" w:hAnsi="Arial" w:cs="Arial"/>
          <w:lang w:val="en-US" w:eastAsia="ko-KR"/>
        </w:rPr>
        <w:t xml:space="preserve">However, to support </w:t>
      </w:r>
      <w:r w:rsidRPr="00F84B3A">
        <w:rPr>
          <w:rFonts w:ascii="Arial" w:hAnsi="Arial" w:cs="Arial"/>
          <w:lang w:val="en-US" w:eastAsia="ko-KR"/>
        </w:rPr>
        <w:t>subsequent switching</w:t>
      </w:r>
      <w:r>
        <w:rPr>
          <w:rFonts w:ascii="Arial" w:hAnsi="Arial" w:cs="Arial"/>
          <w:lang w:val="en-US" w:eastAsia="ko-KR"/>
        </w:rPr>
        <w:t xml:space="preserve">, the UE has to perform a new way of reconfiguration </w:t>
      </w:r>
      <w:r w:rsidRPr="00F84B3A">
        <w:rPr>
          <w:rFonts w:ascii="Arial" w:hAnsi="Arial" w:cs="Arial"/>
          <w:lang w:val="en-US" w:eastAsia="ko-KR"/>
        </w:rPr>
        <w:t>(kind of mixture of pure delta signalling and full configuration) instead of using normal delta signalling</w:t>
      </w:r>
      <w:r>
        <w:rPr>
          <w:rFonts w:ascii="Arial" w:hAnsi="Arial" w:cs="Arial"/>
          <w:lang w:val="en-US" w:eastAsia="ko-KR"/>
        </w:rPr>
        <w:t xml:space="preserve">. This is </w:t>
      </w:r>
      <w:r w:rsidRPr="00F84B3A">
        <w:rPr>
          <w:rFonts w:ascii="Arial" w:hAnsi="Arial" w:cs="Arial"/>
          <w:lang w:val="en-US" w:eastAsia="ko-KR"/>
        </w:rPr>
        <w:t xml:space="preserve">captured in </w:t>
      </w:r>
      <w:r>
        <w:rPr>
          <w:rFonts w:ascii="Arial" w:hAnsi="Arial" w:cs="Arial"/>
          <w:lang w:val="en-US" w:eastAsia="ko-KR"/>
        </w:rPr>
        <w:t xml:space="preserve">NR RRC </w:t>
      </w:r>
      <w:r w:rsidRPr="00F84B3A">
        <w:rPr>
          <w:rFonts w:ascii="Arial" w:hAnsi="Arial" w:cs="Arial"/>
          <w:lang w:val="en-US" w:eastAsia="ko-KR"/>
        </w:rPr>
        <w:t>clause 5.3.5.18.6</w:t>
      </w:r>
      <w:r>
        <w:rPr>
          <w:rFonts w:ascii="Arial" w:hAnsi="Arial" w:cs="Arial"/>
          <w:lang w:val="en-US" w:eastAsia="ko-KR"/>
        </w:rPr>
        <w:t xml:space="preserve">, </w:t>
      </w:r>
      <w:r w:rsidRPr="00F84B3A">
        <w:rPr>
          <w:rFonts w:ascii="Arial" w:hAnsi="Arial" w:cs="Arial"/>
          <w:lang w:val="en-US" w:eastAsia="ko-KR"/>
        </w:rPr>
        <w:t xml:space="preserve">which is 5 pages </w:t>
      </w:r>
      <w:r>
        <w:rPr>
          <w:rFonts w:ascii="Arial" w:hAnsi="Arial" w:cs="Arial"/>
          <w:lang w:val="en-US" w:eastAsia="ko-KR"/>
        </w:rPr>
        <w:t xml:space="preserve">long and </w:t>
      </w:r>
      <w:r w:rsidRPr="00F84B3A">
        <w:rPr>
          <w:rFonts w:ascii="Arial" w:hAnsi="Arial" w:cs="Arial"/>
          <w:lang w:val="en-US" w:eastAsia="ko-KR"/>
        </w:rPr>
        <w:t>very complex procedural text</w:t>
      </w:r>
      <w:r>
        <w:rPr>
          <w:rFonts w:ascii="Arial" w:hAnsi="Arial" w:cs="Arial"/>
          <w:lang w:val="en-US" w:eastAsia="ko-KR"/>
        </w:rPr>
        <w:t xml:space="preserve">. </w:t>
      </w:r>
      <w:r w:rsidR="00AD4915">
        <w:rPr>
          <w:rFonts w:ascii="Arial" w:hAnsi="Arial" w:cs="Arial"/>
          <w:lang w:val="en-US" w:eastAsia="ko-KR"/>
        </w:rPr>
        <w:t xml:space="preserve">On the other hand, legacy L3 handover or CHO, the UE just apply the HO command as normal delta reconfiguration. </w:t>
      </w:r>
    </w:p>
    <w:p w14:paraId="447BE13D" w14:textId="77777777" w:rsidR="00AD4915" w:rsidRDefault="00AD4915" w:rsidP="007041C8">
      <w:pPr>
        <w:spacing w:after="0"/>
        <w:jc w:val="both"/>
        <w:rPr>
          <w:rFonts w:ascii="Arial" w:hAnsi="Arial" w:cs="Arial"/>
          <w:lang w:val="en-US" w:eastAsia="ko-KR"/>
        </w:rPr>
      </w:pPr>
    </w:p>
    <w:p w14:paraId="4DBB90A5" w14:textId="77777B6D" w:rsidR="00F84B3A" w:rsidRPr="002F3678" w:rsidRDefault="00AD4915" w:rsidP="007041C8">
      <w:pPr>
        <w:spacing w:after="0"/>
        <w:jc w:val="both"/>
        <w:rPr>
          <w:rFonts w:ascii="Arial" w:hAnsi="Arial" w:cs="Arial"/>
          <w:lang w:val="en-US" w:eastAsia="ko-KR"/>
        </w:rPr>
      </w:pPr>
      <w:r>
        <w:rPr>
          <w:rFonts w:ascii="Arial" w:hAnsi="Arial" w:cs="Arial"/>
          <w:lang w:val="en-US" w:eastAsia="ko-KR"/>
        </w:rPr>
        <w:t>T</w:t>
      </w:r>
      <w:r w:rsidR="00F84B3A">
        <w:rPr>
          <w:rFonts w:ascii="Arial" w:hAnsi="Arial" w:cs="Arial"/>
          <w:lang w:val="en-US" w:eastAsia="ko-KR"/>
        </w:rPr>
        <w:t>he reference configuration</w:t>
      </w:r>
      <w:r w:rsidR="00C77507">
        <w:rPr>
          <w:rFonts w:ascii="Arial" w:hAnsi="Arial" w:cs="Arial"/>
          <w:lang w:val="en-US" w:eastAsia="ko-KR"/>
        </w:rPr>
        <w:t xml:space="preserve">, which is </w:t>
      </w:r>
      <w:r>
        <w:rPr>
          <w:rFonts w:ascii="Arial" w:hAnsi="Arial" w:cs="Arial"/>
          <w:lang w:val="en-US" w:eastAsia="ko-KR"/>
        </w:rPr>
        <w:t>introduced for</w:t>
      </w:r>
      <w:r w:rsidR="00C77507">
        <w:rPr>
          <w:rFonts w:ascii="Arial" w:hAnsi="Arial" w:cs="Arial"/>
          <w:lang w:val="en-US" w:eastAsia="ko-KR"/>
        </w:rPr>
        <w:t xml:space="preserve"> LTM </w:t>
      </w:r>
      <w:r w:rsidRPr="00AD4915">
        <w:rPr>
          <w:rFonts w:ascii="Arial" w:hAnsi="Arial" w:cs="Arial"/>
          <w:lang w:val="en-US" w:eastAsia="ko-KR"/>
        </w:rPr>
        <w:t>subsequent</w:t>
      </w:r>
      <w:r>
        <w:rPr>
          <w:rFonts w:ascii="Arial" w:hAnsi="Arial" w:cs="Arial"/>
          <w:lang w:val="en-US" w:eastAsia="ko-KR"/>
        </w:rPr>
        <w:t xml:space="preserve"> mobility</w:t>
      </w:r>
      <w:r w:rsidR="00C77507">
        <w:rPr>
          <w:rFonts w:ascii="Arial" w:hAnsi="Arial" w:cs="Arial"/>
          <w:lang w:val="en-US" w:eastAsia="ko-KR"/>
        </w:rPr>
        <w:t xml:space="preserve">, </w:t>
      </w:r>
      <w:r>
        <w:rPr>
          <w:rFonts w:ascii="Arial" w:hAnsi="Arial" w:cs="Arial"/>
          <w:lang w:val="en-US" w:eastAsia="ko-KR"/>
        </w:rPr>
        <w:t xml:space="preserve">make the overall reconfiguration even more </w:t>
      </w:r>
      <w:r w:rsidR="0006499F" w:rsidRPr="0006499F">
        <w:rPr>
          <w:rFonts w:ascii="Arial" w:hAnsi="Arial" w:cs="Arial"/>
          <w:lang w:val="en-US" w:eastAsia="ko-KR"/>
        </w:rPr>
        <w:t>complicated</w:t>
      </w:r>
      <w:r w:rsidR="00A22FBB">
        <w:rPr>
          <w:rFonts w:ascii="Arial" w:hAnsi="Arial" w:cs="Arial"/>
          <w:lang w:val="en-US" w:eastAsia="ko-KR"/>
        </w:rPr>
        <w:t xml:space="preserve"> (as analysis in </w:t>
      </w:r>
      <w:r w:rsidR="00A22FBB" w:rsidRPr="00A22FBB">
        <w:rPr>
          <w:rFonts w:ascii="Arial" w:hAnsi="Arial" w:cs="Arial"/>
          <w:lang w:val="en-US" w:eastAsia="ko-KR"/>
        </w:rPr>
        <w:t xml:space="preserve">session 2.3 </w:t>
      </w:r>
      <w:r w:rsidR="00A22FBB">
        <w:rPr>
          <w:rFonts w:ascii="Arial" w:hAnsi="Arial" w:cs="Arial"/>
          <w:lang w:val="en-US" w:eastAsia="ko-KR"/>
        </w:rPr>
        <w:t xml:space="preserve">of our previous </w:t>
      </w:r>
      <w:proofErr w:type="spellStart"/>
      <w:r w:rsidR="00A22FBB">
        <w:rPr>
          <w:rFonts w:ascii="Arial" w:hAnsi="Arial" w:cs="Arial"/>
          <w:lang w:val="en-US" w:eastAsia="ko-KR"/>
        </w:rPr>
        <w:t>Tdoc</w:t>
      </w:r>
      <w:proofErr w:type="spellEnd"/>
      <w:r w:rsidR="00A22FBB">
        <w:rPr>
          <w:rFonts w:ascii="Arial" w:hAnsi="Arial" w:cs="Arial"/>
          <w:lang w:val="en-US" w:eastAsia="ko-KR"/>
        </w:rPr>
        <w:t xml:space="preserve"> [2])</w:t>
      </w:r>
      <w:r>
        <w:rPr>
          <w:rFonts w:ascii="Arial" w:hAnsi="Arial" w:cs="Arial"/>
          <w:lang w:val="en-US" w:eastAsia="ko-KR"/>
        </w:rPr>
        <w:t xml:space="preserve">. The UE has to apply reference configuration first and perform delta configuration on top of this reference configuration. </w:t>
      </w:r>
      <w:r w:rsidR="00B33658">
        <w:rPr>
          <w:rFonts w:ascii="Arial" w:hAnsi="Arial" w:cs="Arial"/>
          <w:lang w:val="en-US" w:eastAsia="ko-KR"/>
        </w:rPr>
        <w:t>All other reconfiguration procedure (e.g. L3 HO, CHO, normal reconfiguration), the delta configuration is based on current RRC configuration.</w:t>
      </w:r>
      <w:r w:rsidR="00A22FBB">
        <w:rPr>
          <w:rFonts w:ascii="Arial" w:hAnsi="Arial" w:cs="Arial"/>
          <w:lang w:val="en-US" w:eastAsia="ko-KR"/>
        </w:rPr>
        <w:t xml:space="preserve"> In [2], we </w:t>
      </w:r>
      <w:r w:rsidR="00504983">
        <w:rPr>
          <w:rFonts w:ascii="Arial" w:hAnsi="Arial" w:cs="Arial"/>
          <w:lang w:val="en-US" w:eastAsia="ko-KR"/>
        </w:rPr>
        <w:t xml:space="preserve">also </w:t>
      </w:r>
      <w:r w:rsidR="00A22FBB">
        <w:rPr>
          <w:rFonts w:ascii="Arial" w:hAnsi="Arial" w:cs="Arial"/>
          <w:lang w:val="en-US" w:eastAsia="ko-KR"/>
        </w:rPr>
        <w:t xml:space="preserve">suggested </w:t>
      </w:r>
      <w:r w:rsidR="00981122">
        <w:rPr>
          <w:rFonts w:ascii="Arial" w:hAnsi="Arial" w:cs="Arial"/>
          <w:lang w:val="en-US" w:eastAsia="ko-KR"/>
        </w:rPr>
        <w:t>to simplify/clarify the reference configuration usage to make it “implementable”</w:t>
      </w:r>
      <w:r w:rsidR="00504983">
        <w:rPr>
          <w:rFonts w:ascii="Arial" w:hAnsi="Arial" w:cs="Arial"/>
          <w:lang w:val="en-US" w:eastAsia="ko-KR"/>
        </w:rPr>
        <w:t>.</w:t>
      </w:r>
      <w:r w:rsidR="00981122">
        <w:rPr>
          <w:rFonts w:ascii="Arial" w:hAnsi="Arial" w:cs="Arial"/>
          <w:lang w:val="en-US" w:eastAsia="ko-KR"/>
        </w:rPr>
        <w:t xml:space="preserve"> </w:t>
      </w:r>
      <w:r w:rsidR="00504983">
        <w:rPr>
          <w:rFonts w:ascii="Arial" w:hAnsi="Arial" w:cs="Arial"/>
          <w:lang w:val="en-US" w:eastAsia="ko-KR"/>
        </w:rPr>
        <w:t>B</w:t>
      </w:r>
      <w:r w:rsidR="00981122">
        <w:rPr>
          <w:rFonts w:ascii="Arial" w:hAnsi="Arial" w:cs="Arial"/>
          <w:lang w:val="en-US" w:eastAsia="ko-KR"/>
        </w:rPr>
        <w:t xml:space="preserve">ut there is not much intent in RAN2 to make the </w:t>
      </w:r>
      <w:r w:rsidR="00981122" w:rsidRPr="00981122">
        <w:rPr>
          <w:rFonts w:ascii="Arial" w:hAnsi="Arial" w:cs="Arial"/>
          <w:lang w:val="en-US" w:eastAsia="ko-KR"/>
        </w:rPr>
        <w:t xml:space="preserve">reference configuration </w:t>
      </w:r>
      <w:r w:rsidR="00981122">
        <w:rPr>
          <w:rFonts w:ascii="Arial" w:hAnsi="Arial" w:cs="Arial"/>
          <w:lang w:val="en-US" w:eastAsia="ko-KR"/>
        </w:rPr>
        <w:t xml:space="preserve">design more practical. </w:t>
      </w:r>
      <w:r w:rsidR="00B33658">
        <w:rPr>
          <w:rFonts w:ascii="Arial" w:hAnsi="Arial" w:cs="Arial"/>
          <w:lang w:val="en-US" w:eastAsia="ko-KR"/>
        </w:rPr>
        <w:t xml:space="preserve">As far as we know, </w:t>
      </w:r>
      <w:r>
        <w:rPr>
          <w:rFonts w:ascii="Arial" w:hAnsi="Arial" w:cs="Arial"/>
          <w:lang w:val="en-US" w:eastAsia="ko-KR"/>
        </w:rPr>
        <w:t>there is no implementation plan for LTM reference configuration</w:t>
      </w:r>
      <w:r w:rsidR="00B33658">
        <w:rPr>
          <w:rFonts w:ascii="Arial" w:hAnsi="Arial" w:cs="Arial"/>
          <w:lang w:val="en-US" w:eastAsia="ko-KR"/>
        </w:rPr>
        <w:t xml:space="preserve"> d</w:t>
      </w:r>
      <w:r w:rsidR="00B33658" w:rsidRPr="00B33658">
        <w:rPr>
          <w:rFonts w:ascii="Arial" w:hAnsi="Arial" w:cs="Arial"/>
          <w:lang w:val="en-US" w:eastAsia="ko-KR"/>
        </w:rPr>
        <w:t xml:space="preserve">ue to </w:t>
      </w:r>
      <w:r w:rsidR="00504983">
        <w:rPr>
          <w:rFonts w:ascii="Arial" w:hAnsi="Arial" w:cs="Arial"/>
          <w:lang w:val="en-US" w:eastAsia="ko-KR"/>
        </w:rPr>
        <w:t>its</w:t>
      </w:r>
      <w:r w:rsidR="00B33658" w:rsidRPr="00B33658">
        <w:rPr>
          <w:rFonts w:ascii="Arial" w:hAnsi="Arial" w:cs="Arial"/>
          <w:lang w:val="en-US" w:eastAsia="ko-KR"/>
        </w:rPr>
        <w:t xml:space="preserve"> complexity</w:t>
      </w:r>
      <w:r>
        <w:rPr>
          <w:rFonts w:ascii="Arial" w:hAnsi="Arial" w:cs="Arial"/>
          <w:lang w:val="en-US" w:eastAsia="ko-KR"/>
        </w:rPr>
        <w:t>.</w:t>
      </w:r>
    </w:p>
    <w:p w14:paraId="479CE7E6" w14:textId="2DCA1981" w:rsidR="002F3678" w:rsidRDefault="002F3678" w:rsidP="00A251AA">
      <w:pPr>
        <w:spacing w:after="0"/>
        <w:rPr>
          <w:rFonts w:ascii="Arial" w:hAnsi="Arial" w:cs="Arial"/>
          <w:lang w:val="en-US" w:eastAsia="ko-KR"/>
        </w:rPr>
      </w:pPr>
    </w:p>
    <w:p w14:paraId="00096E6B" w14:textId="7E1A05FA" w:rsidR="001711F0" w:rsidRPr="001711F0" w:rsidRDefault="00F84B3A" w:rsidP="00AB462A">
      <w:pPr>
        <w:spacing w:after="0"/>
        <w:jc w:val="both"/>
        <w:rPr>
          <w:rFonts w:ascii="Arial" w:hAnsi="Arial" w:cs="Arial"/>
          <w:b/>
          <w:bCs/>
          <w:lang w:val="en-US" w:eastAsia="ko-KR"/>
        </w:rPr>
      </w:pPr>
      <w:r w:rsidRPr="00F84B3A">
        <w:rPr>
          <w:rFonts w:ascii="Arial" w:hAnsi="Arial" w:cs="Arial"/>
          <w:b/>
          <w:bCs/>
          <w:lang w:val="en-US" w:eastAsia="ko-KR"/>
        </w:rPr>
        <w:t xml:space="preserve">Observation </w:t>
      </w:r>
      <w:r w:rsidR="002C10DB">
        <w:rPr>
          <w:rFonts w:ascii="Arial" w:hAnsi="Arial" w:cs="Arial"/>
          <w:b/>
          <w:bCs/>
          <w:lang w:val="en-US" w:eastAsia="ko-KR"/>
        </w:rPr>
        <w:t>5</w:t>
      </w:r>
      <w:r w:rsidRPr="00F84B3A">
        <w:rPr>
          <w:rFonts w:ascii="Arial" w:hAnsi="Arial" w:cs="Arial"/>
          <w:b/>
          <w:bCs/>
          <w:lang w:val="en-US" w:eastAsia="ko-KR"/>
        </w:rPr>
        <w:t xml:space="preserve">: </w:t>
      </w:r>
      <w:r w:rsidR="006D5873" w:rsidRPr="006D5873">
        <w:rPr>
          <w:rFonts w:ascii="Arial" w:hAnsi="Arial" w:cs="Arial"/>
          <w:b/>
          <w:bCs/>
          <w:lang w:val="en-US" w:eastAsia="ko-KR"/>
        </w:rPr>
        <w:t xml:space="preserve">In Legacy L3 handover or CHO, the UE just applies HO command and performs normal delta reconfiguration. But in LTM, the UE has to perform a new and complex LTM-specific configuration management (clause 5.3.5.18.6) first, which is largely specified to enable subsequent mobility. The UE needs to implement this complex step </w:t>
      </w:r>
      <w:proofErr w:type="gramStart"/>
      <w:r w:rsidR="006D5873" w:rsidRPr="006D5873">
        <w:rPr>
          <w:rFonts w:ascii="Arial" w:hAnsi="Arial" w:cs="Arial"/>
          <w:b/>
          <w:bCs/>
          <w:lang w:val="en-US" w:eastAsia="ko-KR"/>
        </w:rPr>
        <w:t>regardless</w:t>
      </w:r>
      <w:proofErr w:type="gramEnd"/>
      <w:r w:rsidR="006D5873" w:rsidRPr="006D5873">
        <w:rPr>
          <w:rFonts w:ascii="Arial" w:hAnsi="Arial" w:cs="Arial"/>
          <w:b/>
          <w:bCs/>
          <w:lang w:val="en-US" w:eastAsia="ko-KR"/>
        </w:rPr>
        <w:t xml:space="preserve"> whether the network actually applies subsequent mobility or not.</w:t>
      </w:r>
    </w:p>
    <w:p w14:paraId="44FCBC9D" w14:textId="77777777" w:rsidR="005F51E7" w:rsidRDefault="005F51E7" w:rsidP="00A251AA">
      <w:pPr>
        <w:spacing w:after="0"/>
        <w:rPr>
          <w:rFonts w:ascii="Arial" w:hAnsi="Arial" w:cs="Arial"/>
          <w:lang w:val="en-US" w:eastAsia="ko-KR"/>
        </w:rPr>
      </w:pPr>
    </w:p>
    <w:p w14:paraId="7BF14EC9" w14:textId="24203648" w:rsidR="001711F0" w:rsidRPr="005F51E7" w:rsidRDefault="001711F0" w:rsidP="00A251AA">
      <w:pPr>
        <w:spacing w:after="0"/>
        <w:rPr>
          <w:rFonts w:ascii="Arial" w:hAnsi="Arial" w:cs="Arial"/>
          <w:b/>
          <w:bCs/>
          <w:lang w:val="en-US" w:eastAsia="ko-KR"/>
        </w:rPr>
      </w:pPr>
      <w:r w:rsidRPr="005F51E7">
        <w:rPr>
          <w:rFonts w:ascii="Arial" w:hAnsi="Arial" w:cs="Arial"/>
          <w:b/>
          <w:bCs/>
          <w:lang w:val="en-US" w:eastAsia="ko-KR"/>
        </w:rPr>
        <w:t>Observation</w:t>
      </w:r>
      <w:r w:rsidR="005F51E7" w:rsidRPr="005F51E7">
        <w:rPr>
          <w:rFonts w:ascii="Arial" w:hAnsi="Arial" w:cs="Arial"/>
          <w:b/>
          <w:bCs/>
          <w:lang w:val="en-US" w:eastAsia="ko-KR"/>
        </w:rPr>
        <w:t xml:space="preserve"> 6</w:t>
      </w:r>
      <w:r w:rsidRPr="005F51E7">
        <w:rPr>
          <w:rFonts w:ascii="Arial" w:hAnsi="Arial" w:cs="Arial"/>
          <w:b/>
          <w:bCs/>
          <w:lang w:val="en-US" w:eastAsia="ko-KR"/>
        </w:rPr>
        <w:t xml:space="preserve">: </w:t>
      </w:r>
      <w:r w:rsidR="00F84B3A">
        <w:rPr>
          <w:rFonts w:ascii="Arial" w:hAnsi="Arial" w:cs="Arial"/>
          <w:b/>
          <w:bCs/>
          <w:lang w:val="en-US" w:eastAsia="ko-KR"/>
        </w:rPr>
        <w:t xml:space="preserve">There is no </w:t>
      </w:r>
      <w:r w:rsidRPr="005F51E7">
        <w:rPr>
          <w:rFonts w:ascii="Arial" w:hAnsi="Arial" w:cs="Arial"/>
          <w:b/>
          <w:bCs/>
          <w:lang w:val="en-US" w:eastAsia="ko-KR"/>
        </w:rPr>
        <w:t xml:space="preserve">implementation on </w:t>
      </w:r>
      <w:r w:rsidR="00927CAE">
        <w:rPr>
          <w:rFonts w:ascii="Arial" w:hAnsi="Arial" w:cs="Arial"/>
          <w:b/>
          <w:bCs/>
          <w:lang w:val="en-US" w:eastAsia="ko-KR"/>
        </w:rPr>
        <w:t xml:space="preserve">LTM </w:t>
      </w:r>
      <w:r w:rsidRPr="005F51E7">
        <w:rPr>
          <w:rFonts w:ascii="Arial" w:hAnsi="Arial" w:cs="Arial"/>
          <w:b/>
          <w:bCs/>
          <w:lang w:val="en-US" w:eastAsia="ko-KR"/>
        </w:rPr>
        <w:t xml:space="preserve">reference configuration. </w:t>
      </w:r>
    </w:p>
    <w:p w14:paraId="7972DF4E" w14:textId="77777777" w:rsidR="005F51E7" w:rsidRDefault="005F51E7" w:rsidP="00A251AA">
      <w:pPr>
        <w:spacing w:after="0"/>
        <w:rPr>
          <w:rFonts w:ascii="Arial" w:hAnsi="Arial" w:cs="Arial"/>
          <w:b/>
          <w:bCs/>
          <w:lang w:val="en-US" w:eastAsia="ko-KR"/>
        </w:rPr>
      </w:pPr>
    </w:p>
    <w:p w14:paraId="2752AF5D" w14:textId="3B6B3099" w:rsidR="005F51E7" w:rsidRDefault="005F51E7" w:rsidP="00F562D7">
      <w:pPr>
        <w:spacing w:after="0"/>
        <w:jc w:val="both"/>
        <w:rPr>
          <w:rFonts w:ascii="Arial" w:hAnsi="Arial" w:cs="Arial"/>
          <w:b/>
          <w:bCs/>
          <w:lang w:val="en-US" w:eastAsia="ko-KR"/>
        </w:rPr>
      </w:pPr>
      <w:r w:rsidRPr="005F51E7">
        <w:rPr>
          <w:rFonts w:ascii="Arial" w:hAnsi="Arial" w:cs="Arial"/>
          <w:lang w:val="en-US" w:eastAsia="ko-KR"/>
        </w:rPr>
        <w:t>I</w:t>
      </w:r>
      <w:r w:rsidR="00F84B3A">
        <w:rPr>
          <w:rFonts w:ascii="Arial" w:hAnsi="Arial" w:cs="Arial"/>
          <w:lang w:val="en-US" w:eastAsia="ko-KR"/>
        </w:rPr>
        <w:t xml:space="preserve">n 6G, RAN2 should discuss </w:t>
      </w:r>
      <w:r w:rsidR="00927CAE">
        <w:rPr>
          <w:rFonts w:ascii="Arial" w:hAnsi="Arial" w:cs="Arial"/>
          <w:lang w:val="en-US" w:eastAsia="ko-KR"/>
        </w:rPr>
        <w:t>whether to continue support subsequent switching functionality due to its complexity. I</w:t>
      </w:r>
      <w:r w:rsidRPr="005F51E7">
        <w:rPr>
          <w:rFonts w:ascii="Arial" w:hAnsi="Arial" w:cs="Arial"/>
          <w:lang w:val="en-US" w:eastAsia="ko-KR"/>
        </w:rPr>
        <w:t>f</w:t>
      </w:r>
      <w:r w:rsidR="00927CAE">
        <w:rPr>
          <w:rFonts w:ascii="Arial" w:hAnsi="Arial" w:cs="Arial"/>
          <w:lang w:val="en-US" w:eastAsia="ko-KR"/>
        </w:rPr>
        <w:t xml:space="preserve"> yes, RAN2 to study how to perform the subsequent switching in a simpler way. </w:t>
      </w:r>
    </w:p>
    <w:p w14:paraId="4AD5C99B" w14:textId="712B4D07" w:rsidR="001711F0" w:rsidRPr="00A251AA" w:rsidRDefault="001711F0" w:rsidP="00A251AA">
      <w:pPr>
        <w:spacing w:after="0"/>
        <w:rPr>
          <w:rFonts w:ascii="Arial" w:hAnsi="Arial" w:cs="Arial"/>
          <w:lang w:val="en-US" w:eastAsia="ko-KR"/>
        </w:rPr>
      </w:pPr>
    </w:p>
    <w:p w14:paraId="06A42DFB" w14:textId="1E0D565E" w:rsidR="001711F0" w:rsidRPr="004767EE" w:rsidRDefault="001711F0" w:rsidP="00F562D7">
      <w:pPr>
        <w:spacing w:after="0"/>
        <w:jc w:val="both"/>
        <w:rPr>
          <w:rFonts w:ascii="Arial" w:hAnsi="Arial" w:cs="Arial"/>
          <w:b/>
          <w:bCs/>
          <w:lang w:val="en-US" w:eastAsia="ko-KR"/>
        </w:rPr>
      </w:pPr>
      <w:r w:rsidRPr="004767EE">
        <w:rPr>
          <w:rFonts w:ascii="Arial" w:hAnsi="Arial" w:cs="Arial"/>
          <w:b/>
          <w:bCs/>
          <w:lang w:val="en-US" w:eastAsia="ko-KR"/>
        </w:rPr>
        <w:t xml:space="preserve">Proposal </w:t>
      </w:r>
      <w:r w:rsidR="002F3678">
        <w:rPr>
          <w:rFonts w:ascii="Arial" w:hAnsi="Arial" w:cs="Arial"/>
          <w:b/>
          <w:bCs/>
          <w:lang w:val="en-US" w:eastAsia="ko-KR"/>
        </w:rPr>
        <w:t>7</w:t>
      </w:r>
      <w:r w:rsidRPr="004767EE">
        <w:rPr>
          <w:rFonts w:ascii="Arial" w:hAnsi="Arial" w:cs="Arial"/>
          <w:b/>
          <w:bCs/>
          <w:lang w:val="en-US" w:eastAsia="ko-KR"/>
        </w:rPr>
        <w:t xml:space="preserve">: The subsequent </w:t>
      </w:r>
      <w:r w:rsidR="00605C27" w:rsidRPr="00605C27">
        <w:rPr>
          <w:rFonts w:ascii="Arial" w:hAnsi="Arial" w:cs="Arial"/>
          <w:b/>
          <w:bCs/>
          <w:lang w:val="en-US" w:eastAsia="ko-KR"/>
        </w:rPr>
        <w:t xml:space="preserve">mobility </w:t>
      </w:r>
      <w:r w:rsidRPr="004767EE">
        <w:rPr>
          <w:rFonts w:ascii="Arial" w:hAnsi="Arial" w:cs="Arial"/>
          <w:b/>
          <w:bCs/>
          <w:lang w:val="en-US" w:eastAsia="ko-KR"/>
        </w:rPr>
        <w:t xml:space="preserve">and reference configuration as in NR LTM should </w:t>
      </w:r>
      <w:r w:rsidR="004767EE">
        <w:rPr>
          <w:rFonts w:ascii="Arial" w:hAnsi="Arial" w:cs="Arial"/>
          <w:b/>
          <w:bCs/>
          <w:lang w:val="en-US" w:eastAsia="ko-KR"/>
        </w:rPr>
        <w:t>NOT</w:t>
      </w:r>
      <w:r w:rsidRPr="004767EE">
        <w:rPr>
          <w:rFonts w:ascii="Arial" w:hAnsi="Arial" w:cs="Arial"/>
          <w:b/>
          <w:bCs/>
          <w:lang w:val="en-US" w:eastAsia="ko-KR"/>
        </w:rPr>
        <w:t xml:space="preserve"> be supported in 6G. </w:t>
      </w:r>
      <w:r w:rsidR="002F3678">
        <w:rPr>
          <w:rFonts w:ascii="Arial" w:hAnsi="Arial" w:cs="Arial"/>
          <w:b/>
          <w:bCs/>
          <w:lang w:val="en-US" w:eastAsia="ko-KR"/>
        </w:rPr>
        <w:t xml:space="preserve">RAN2 to study whether </w:t>
      </w:r>
      <w:r w:rsidR="00A05182">
        <w:rPr>
          <w:rFonts w:ascii="Arial" w:hAnsi="Arial" w:cs="Arial"/>
          <w:b/>
          <w:bCs/>
          <w:lang w:val="en-US" w:eastAsia="ko-KR"/>
        </w:rPr>
        <w:t xml:space="preserve">to support </w:t>
      </w:r>
      <w:r w:rsidR="00A05182" w:rsidRPr="00A05182">
        <w:rPr>
          <w:rFonts w:ascii="Arial" w:hAnsi="Arial" w:cs="Arial"/>
          <w:b/>
          <w:bCs/>
          <w:lang w:val="en-US" w:eastAsia="ko-KR"/>
        </w:rPr>
        <w:t xml:space="preserve">subsequent </w:t>
      </w:r>
      <w:r w:rsidR="000B2A04" w:rsidRPr="000B2A04">
        <w:rPr>
          <w:rFonts w:ascii="Arial" w:hAnsi="Arial" w:cs="Arial"/>
          <w:b/>
          <w:bCs/>
          <w:lang w:val="en-US" w:eastAsia="ko-KR"/>
        </w:rPr>
        <w:t>mobility</w:t>
      </w:r>
      <w:r w:rsidR="00A05182">
        <w:rPr>
          <w:rFonts w:ascii="Arial" w:hAnsi="Arial" w:cs="Arial"/>
          <w:b/>
          <w:bCs/>
          <w:lang w:val="en-US" w:eastAsia="ko-KR"/>
        </w:rPr>
        <w:t xml:space="preserve">, </w:t>
      </w:r>
      <w:r w:rsidR="002F3678">
        <w:rPr>
          <w:rFonts w:ascii="Arial" w:hAnsi="Arial" w:cs="Arial"/>
          <w:b/>
          <w:bCs/>
          <w:lang w:val="en-US" w:eastAsia="ko-KR"/>
        </w:rPr>
        <w:t xml:space="preserve">and </w:t>
      </w:r>
      <w:r w:rsidR="00A05182">
        <w:rPr>
          <w:rFonts w:ascii="Arial" w:hAnsi="Arial" w:cs="Arial"/>
          <w:b/>
          <w:bCs/>
          <w:lang w:val="en-US" w:eastAsia="ko-KR"/>
        </w:rPr>
        <w:t xml:space="preserve">if yes, </w:t>
      </w:r>
      <w:r w:rsidR="002F3678">
        <w:rPr>
          <w:rFonts w:ascii="Arial" w:hAnsi="Arial" w:cs="Arial"/>
          <w:b/>
          <w:bCs/>
          <w:lang w:val="en-US" w:eastAsia="ko-KR"/>
        </w:rPr>
        <w:t xml:space="preserve">how to support </w:t>
      </w:r>
      <w:r w:rsidR="00A05182">
        <w:rPr>
          <w:rFonts w:ascii="Arial" w:hAnsi="Arial" w:cs="Arial"/>
          <w:b/>
          <w:bCs/>
          <w:lang w:val="en-US" w:eastAsia="ko-KR"/>
        </w:rPr>
        <w:t xml:space="preserve">it </w:t>
      </w:r>
      <w:r w:rsidR="002F3678">
        <w:rPr>
          <w:rFonts w:ascii="Arial" w:hAnsi="Arial" w:cs="Arial"/>
          <w:b/>
          <w:bCs/>
          <w:lang w:val="en-US" w:eastAsia="ko-KR"/>
        </w:rPr>
        <w:t>in a simpler way.</w:t>
      </w:r>
    </w:p>
    <w:p w14:paraId="1F52C99F" w14:textId="77777777" w:rsidR="00964DC5" w:rsidRPr="00103445" w:rsidRDefault="00964DC5" w:rsidP="00016702">
      <w:pPr>
        <w:rPr>
          <w:lang w:val="en-US" w:eastAsia="ko-KR"/>
        </w:rPr>
      </w:pPr>
    </w:p>
    <w:p w14:paraId="6F66E400" w14:textId="2177AEB3" w:rsidR="003D08C7" w:rsidRPr="004072B9" w:rsidRDefault="002B05A7" w:rsidP="004072B9">
      <w:pPr>
        <w:pStyle w:val="Heading2"/>
        <w:rPr>
          <w:lang w:val="en-US" w:eastAsia="ko-KR"/>
        </w:rPr>
      </w:pPr>
      <w:r>
        <w:rPr>
          <w:lang w:val="en-US" w:eastAsia="ko-KR"/>
        </w:rPr>
        <w:lastRenderedPageBreak/>
        <w:t>2.</w:t>
      </w:r>
      <w:r w:rsidR="00C2298C">
        <w:rPr>
          <w:lang w:val="en-US" w:eastAsia="ko-KR"/>
        </w:rPr>
        <w:t>4</w:t>
      </w:r>
      <w:r w:rsidR="00B0432D">
        <w:rPr>
          <w:lang w:val="en-US" w:eastAsia="ko-KR"/>
        </w:rPr>
        <w:t xml:space="preserve"> </w:t>
      </w:r>
      <w:r w:rsidRPr="002B05A7">
        <w:rPr>
          <w:lang w:val="en-US" w:eastAsia="ko-KR"/>
        </w:rPr>
        <w:t>Intelligent mobility</w:t>
      </w:r>
      <w:r>
        <w:rPr>
          <w:lang w:val="en-US" w:eastAsia="ko-KR"/>
        </w:rPr>
        <w:t xml:space="preserve"> framework</w:t>
      </w:r>
    </w:p>
    <w:p w14:paraId="4DBE92F9" w14:textId="4B3DB8D4" w:rsidR="006F6957" w:rsidRDefault="006F6957" w:rsidP="00F331E4">
      <w:pPr>
        <w:spacing w:after="0"/>
        <w:jc w:val="both"/>
        <w:rPr>
          <w:rFonts w:ascii="Arial" w:eastAsiaTheme="minorEastAsia" w:hAnsi="Arial" w:cs="Arial"/>
          <w:bCs/>
          <w:lang w:val="en-US" w:eastAsia="zh-TW"/>
        </w:rPr>
      </w:pPr>
      <w:r>
        <w:rPr>
          <w:rFonts w:ascii="Arial" w:eastAsiaTheme="minorEastAsia" w:hAnsi="Arial" w:cs="Arial"/>
          <w:bCs/>
          <w:lang w:val="en-US" w:eastAsia="zh-TW"/>
        </w:rPr>
        <w:t xml:space="preserve">With the increasing complexity of 6G scenarios and the challenges of coverage and throughput mismatches, the legacy rule-based handover procedures may no longer be suitable in all cases. While pre-configured mobility parameters (such as TTT and A3 offset) can optimize the average performance for all UEs within a cell, they may not be optimal for each individual UE or for every handover decision. Instead, it would be beneficial for certain mobility parameters to be dynamically adjusted by the UE based on its </w:t>
      </w:r>
      <w:r w:rsidR="007F24B7">
        <w:rPr>
          <w:rFonts w:ascii="Arial" w:eastAsiaTheme="minorEastAsia" w:hAnsi="Arial" w:cs="Arial"/>
          <w:bCs/>
          <w:lang w:val="en-US" w:eastAsia="zh-TW"/>
        </w:rPr>
        <w:t>real-time</w:t>
      </w:r>
      <w:r>
        <w:rPr>
          <w:rFonts w:ascii="Arial" w:eastAsiaTheme="minorEastAsia" w:hAnsi="Arial" w:cs="Arial"/>
          <w:bCs/>
          <w:lang w:val="en-US" w:eastAsia="zh-TW"/>
        </w:rPr>
        <w:t xml:space="preserve"> link conditions to enhance the user experience.</w:t>
      </w:r>
      <w:r w:rsidR="000E32BA">
        <w:rPr>
          <w:rFonts w:ascii="Arial" w:eastAsiaTheme="minorEastAsia" w:hAnsi="Arial" w:cs="Arial"/>
          <w:bCs/>
          <w:lang w:val="en-US" w:eastAsia="zh-TW"/>
        </w:rPr>
        <w:t xml:space="preserve"> This kind of parameters adjustment could be done by AI or non-AI. </w:t>
      </w:r>
    </w:p>
    <w:p w14:paraId="7E282150" w14:textId="77777777" w:rsidR="007245E0" w:rsidRDefault="007245E0" w:rsidP="00F331E4">
      <w:pPr>
        <w:spacing w:after="0"/>
        <w:jc w:val="both"/>
        <w:rPr>
          <w:rFonts w:ascii="Arial" w:eastAsiaTheme="minorEastAsia" w:hAnsi="Arial" w:cs="Arial"/>
          <w:bCs/>
          <w:lang w:val="en-US" w:eastAsia="zh-TW"/>
        </w:rPr>
      </w:pPr>
    </w:p>
    <w:p w14:paraId="1377A657" w14:textId="0AAE7311" w:rsidR="000E32BA" w:rsidRDefault="00866789" w:rsidP="00F331E4">
      <w:pPr>
        <w:spacing w:after="0"/>
        <w:jc w:val="both"/>
        <w:rPr>
          <w:rFonts w:ascii="Arial" w:eastAsiaTheme="minorEastAsia" w:hAnsi="Arial" w:cs="Arial"/>
          <w:bCs/>
          <w:lang w:val="en-US" w:eastAsia="zh-TW"/>
        </w:rPr>
      </w:pPr>
      <w:r>
        <w:rPr>
          <w:rFonts w:ascii="Arial" w:eastAsiaTheme="minorEastAsia" w:hAnsi="Arial" w:cs="Arial"/>
          <w:bCs/>
          <w:lang w:val="en-US" w:eastAsia="zh-TW"/>
        </w:rPr>
        <w:t>To support this</w:t>
      </w:r>
      <w:r w:rsidR="00A04A88">
        <w:rPr>
          <w:rFonts w:ascii="Arial" w:eastAsiaTheme="minorEastAsia" w:hAnsi="Arial" w:cs="Arial"/>
          <w:bCs/>
          <w:lang w:val="en-US" w:eastAsia="zh-TW"/>
        </w:rPr>
        <w:t xml:space="preserve"> vision</w:t>
      </w:r>
      <w:r>
        <w:rPr>
          <w:rFonts w:ascii="Arial" w:eastAsiaTheme="minorEastAsia" w:hAnsi="Arial" w:cs="Arial"/>
          <w:bCs/>
          <w:lang w:val="en-US" w:eastAsia="zh-TW"/>
        </w:rPr>
        <w:t xml:space="preserve">, some modifications to the specifications </w:t>
      </w:r>
      <w:r w:rsidR="00A04A88">
        <w:rPr>
          <w:rFonts w:ascii="Arial" w:eastAsiaTheme="minorEastAsia" w:hAnsi="Arial" w:cs="Arial"/>
          <w:bCs/>
          <w:lang w:val="en-US" w:eastAsia="zh-TW"/>
        </w:rPr>
        <w:t>will</w:t>
      </w:r>
      <w:r>
        <w:rPr>
          <w:rFonts w:ascii="Arial" w:eastAsiaTheme="minorEastAsia" w:hAnsi="Arial" w:cs="Arial"/>
          <w:bCs/>
          <w:lang w:val="en-US" w:eastAsia="zh-TW"/>
        </w:rPr>
        <w:t xml:space="preserve"> be necessary</w:t>
      </w:r>
      <w:r w:rsidR="00A04A88">
        <w:rPr>
          <w:rFonts w:ascii="Arial" w:eastAsiaTheme="minorEastAsia" w:hAnsi="Arial" w:cs="Arial"/>
          <w:bCs/>
          <w:lang w:val="en-US" w:eastAsia="zh-TW"/>
        </w:rPr>
        <w:t>.</w:t>
      </w:r>
      <w:r>
        <w:rPr>
          <w:rFonts w:ascii="Arial" w:eastAsiaTheme="minorEastAsia" w:hAnsi="Arial" w:cs="Arial"/>
          <w:bCs/>
          <w:lang w:val="en-US" w:eastAsia="zh-TW"/>
        </w:rPr>
        <w:t xml:space="preserve"> </w:t>
      </w:r>
      <w:r w:rsidR="00A04A88">
        <w:rPr>
          <w:rFonts w:ascii="Arial" w:eastAsiaTheme="minorEastAsia" w:hAnsi="Arial" w:cs="Arial"/>
          <w:bCs/>
          <w:lang w:val="en-US" w:eastAsia="zh-TW"/>
        </w:rPr>
        <w:t xml:space="preserve">For example, </w:t>
      </w:r>
      <w:r>
        <w:rPr>
          <w:rFonts w:ascii="Arial" w:eastAsiaTheme="minorEastAsia" w:hAnsi="Arial" w:cs="Arial"/>
          <w:bCs/>
          <w:lang w:val="en-US" w:eastAsia="zh-TW"/>
        </w:rPr>
        <w:t xml:space="preserve">allowing a range of acceptable mobility parameter values instead of fixed values, and introducing signaling for UE recommendations, etc. </w:t>
      </w:r>
      <w:r w:rsidR="009134E2">
        <w:rPr>
          <w:rFonts w:ascii="Arial" w:eastAsiaTheme="minorEastAsia" w:hAnsi="Arial" w:cs="Arial"/>
          <w:bCs/>
          <w:lang w:val="en-US" w:eastAsia="zh-TW"/>
        </w:rPr>
        <w:t>In 6</w:t>
      </w:r>
      <w:r w:rsidR="009134E2">
        <w:rPr>
          <w:rFonts w:ascii="Arial" w:eastAsiaTheme="minorEastAsia" w:hAnsi="Arial" w:cs="Arial" w:hint="eastAsia"/>
          <w:bCs/>
          <w:lang w:val="en-US" w:eastAsia="zh-TW"/>
        </w:rPr>
        <w:t>G</w:t>
      </w:r>
      <w:r w:rsidR="009134E2">
        <w:rPr>
          <w:rFonts w:ascii="Arial" w:eastAsiaTheme="minorEastAsia" w:hAnsi="Arial" w:cs="Arial"/>
          <w:bCs/>
          <w:lang w:val="en-US" w:eastAsia="zh-TW"/>
        </w:rPr>
        <w:t>, w</w:t>
      </w:r>
      <w:r w:rsidR="00AD5E63">
        <w:rPr>
          <w:rFonts w:ascii="Arial" w:eastAsiaTheme="minorEastAsia" w:hAnsi="Arial" w:cs="Arial"/>
          <w:bCs/>
          <w:lang w:val="en-US" w:eastAsia="zh-TW"/>
        </w:rPr>
        <w:t xml:space="preserve">e aim to design an extendable/flexible </w:t>
      </w:r>
      <w:r w:rsidR="00BB6023">
        <w:rPr>
          <w:rFonts w:ascii="Arial" w:eastAsiaTheme="minorEastAsia" w:hAnsi="Arial" w:cs="Arial"/>
          <w:bCs/>
          <w:lang w:val="en-US" w:eastAsia="zh-TW"/>
        </w:rPr>
        <w:t xml:space="preserve">connected mode </w:t>
      </w:r>
      <w:r w:rsidR="00AD5E63">
        <w:rPr>
          <w:rFonts w:ascii="Arial" w:eastAsiaTheme="minorEastAsia" w:hAnsi="Arial" w:cs="Arial"/>
          <w:bCs/>
          <w:lang w:val="en-US" w:eastAsia="zh-TW"/>
        </w:rPr>
        <w:t xml:space="preserve">mobility procedure that </w:t>
      </w:r>
      <w:r w:rsidR="00BB6023">
        <w:rPr>
          <w:rFonts w:ascii="Arial" w:eastAsiaTheme="minorEastAsia" w:hAnsi="Arial" w:cs="Arial"/>
          <w:bCs/>
          <w:lang w:val="en-US" w:eastAsia="zh-TW"/>
        </w:rPr>
        <w:t xml:space="preserve">allow </w:t>
      </w:r>
      <w:r w:rsidR="000E32BA">
        <w:rPr>
          <w:rFonts w:ascii="Arial" w:eastAsiaTheme="minorEastAsia" w:hAnsi="Arial" w:cs="Arial"/>
          <w:bCs/>
          <w:lang w:val="en-US" w:eastAsia="zh-TW"/>
        </w:rPr>
        <w:t xml:space="preserve">UE </w:t>
      </w:r>
      <w:r>
        <w:rPr>
          <w:rFonts w:ascii="Arial" w:eastAsiaTheme="minorEastAsia" w:hAnsi="Arial" w:cs="Arial"/>
          <w:bCs/>
          <w:lang w:val="en-US" w:eastAsia="zh-TW"/>
        </w:rPr>
        <w:t>to trigger (or not trigger) handover</w:t>
      </w:r>
      <w:r w:rsidR="004F4B19">
        <w:rPr>
          <w:rFonts w:ascii="Arial" w:eastAsiaTheme="minorEastAsia" w:hAnsi="Arial" w:cs="Arial"/>
          <w:bCs/>
          <w:lang w:val="en-US" w:eastAsia="zh-TW"/>
        </w:rPr>
        <w:t>.</w:t>
      </w:r>
      <w:r w:rsidR="000E32BA">
        <w:rPr>
          <w:rFonts w:ascii="Arial" w:eastAsiaTheme="minorEastAsia" w:hAnsi="Arial" w:cs="Arial"/>
          <w:bCs/>
          <w:lang w:val="en-US" w:eastAsia="zh-TW"/>
        </w:rPr>
        <w:t xml:space="preserve"> In fact, this kind of smart implementation is not limited to mobility. We have a general paper in [</w:t>
      </w:r>
      <w:r w:rsidR="00A22FBB">
        <w:rPr>
          <w:rFonts w:ascii="Arial" w:eastAsiaTheme="minorEastAsia" w:hAnsi="Arial" w:cs="Arial"/>
          <w:bCs/>
          <w:lang w:val="en-US" w:eastAsia="zh-TW"/>
        </w:rPr>
        <w:t>3</w:t>
      </w:r>
      <w:r w:rsidR="000E32BA">
        <w:rPr>
          <w:rFonts w:ascii="Arial" w:eastAsiaTheme="minorEastAsia" w:hAnsi="Arial" w:cs="Arial"/>
          <w:bCs/>
          <w:lang w:val="en-US" w:eastAsia="zh-TW"/>
        </w:rPr>
        <w:t xml:space="preserve">] to discuss how to enable this flexibility for better user experience in 6G. </w:t>
      </w:r>
    </w:p>
    <w:p w14:paraId="418ECCEB" w14:textId="77777777" w:rsidR="000E32BA" w:rsidRDefault="000E32BA" w:rsidP="00F331E4">
      <w:pPr>
        <w:spacing w:after="0"/>
        <w:jc w:val="both"/>
        <w:rPr>
          <w:rFonts w:ascii="Arial" w:eastAsiaTheme="minorEastAsia" w:hAnsi="Arial" w:cs="Arial"/>
          <w:bCs/>
          <w:lang w:val="en-US" w:eastAsia="zh-TW"/>
        </w:rPr>
      </w:pPr>
    </w:p>
    <w:p w14:paraId="0F45CF92" w14:textId="4132593A" w:rsidR="00A93A22" w:rsidRPr="00046784" w:rsidRDefault="00AD5E63" w:rsidP="00F331E4">
      <w:pPr>
        <w:spacing w:after="0"/>
        <w:rPr>
          <w:rFonts w:ascii="Arial" w:hAnsi="Arial" w:cs="Arial"/>
          <w:b/>
          <w:lang w:val="en-US"/>
        </w:rPr>
      </w:pPr>
      <w:r>
        <w:rPr>
          <w:rFonts w:ascii="微軟正黑體" w:eastAsia="微軟正黑體" w:hAnsi="微軟正黑體" w:cs="微軟正黑體"/>
          <w:b/>
          <w:lang w:val="en-US" w:eastAsia="zh-TW"/>
        </w:rPr>
        <w:t xml:space="preserve"> </w:t>
      </w:r>
    </w:p>
    <w:p w14:paraId="6DECC29C" w14:textId="00126DD6" w:rsidR="003E6E22" w:rsidRDefault="003E6E22" w:rsidP="00F331E4">
      <w:pPr>
        <w:spacing w:after="0"/>
        <w:rPr>
          <w:rFonts w:ascii="Arial" w:eastAsiaTheme="minorEastAsia" w:hAnsi="Arial" w:cs="Arial"/>
          <w:b/>
          <w:lang w:val="en-US" w:eastAsia="zh-TW"/>
        </w:rPr>
      </w:pPr>
    </w:p>
    <w:p w14:paraId="13181869" w14:textId="1E6D3D34" w:rsidR="00B20055" w:rsidRDefault="00B20055" w:rsidP="00F331E4">
      <w:pPr>
        <w:spacing w:after="0"/>
        <w:rPr>
          <w:rFonts w:ascii="Arial" w:eastAsiaTheme="minorEastAsia" w:hAnsi="Arial" w:cs="Arial"/>
          <w:b/>
          <w:lang w:val="en-US" w:eastAsia="zh-TW"/>
        </w:rPr>
      </w:pPr>
      <w:r>
        <w:rPr>
          <w:rFonts w:ascii="Arial" w:eastAsiaTheme="minorEastAsia" w:hAnsi="Arial" w:cs="Arial"/>
          <w:b/>
          <w:lang w:val="en-US" w:eastAsia="zh-TW"/>
        </w:rPr>
        <w:br w:type="page"/>
      </w:r>
    </w:p>
    <w:p w14:paraId="593746F3" w14:textId="3CFE087C" w:rsidR="00DE28E0" w:rsidRPr="00046784" w:rsidRDefault="006214DC" w:rsidP="00844B7D">
      <w:pPr>
        <w:pStyle w:val="Heading1"/>
        <w:ind w:left="0" w:firstLine="0"/>
        <w:rPr>
          <w:lang w:val="en-US" w:eastAsia="ko-KR"/>
        </w:rPr>
      </w:pPr>
      <w:r w:rsidRPr="00046784">
        <w:rPr>
          <w:lang w:val="en-US" w:eastAsia="ko-KR"/>
        </w:rPr>
        <w:lastRenderedPageBreak/>
        <w:t>3</w:t>
      </w:r>
      <w:r w:rsidR="000C2A92" w:rsidRPr="00046784">
        <w:rPr>
          <w:lang w:val="en-US" w:eastAsia="ko-KR"/>
        </w:rPr>
        <w:t xml:space="preserve"> Conclusions</w:t>
      </w:r>
      <w:r w:rsidR="00DE28E0" w:rsidRPr="00046784">
        <w:rPr>
          <w:b/>
          <w:lang w:val="en-US"/>
        </w:rPr>
        <w:tab/>
      </w:r>
    </w:p>
    <w:p w14:paraId="26B4644D" w14:textId="26722228" w:rsidR="006C2F84" w:rsidRDefault="0080084F" w:rsidP="00677AC0">
      <w:pPr>
        <w:spacing w:after="0"/>
        <w:rPr>
          <w:rFonts w:ascii="Arial" w:hAnsi="Arial" w:cs="Arial"/>
          <w:lang w:val="en-US"/>
        </w:rPr>
      </w:pPr>
      <w:r w:rsidRPr="00046784">
        <w:rPr>
          <w:rFonts w:ascii="Arial" w:hAnsi="Arial" w:cs="Arial"/>
          <w:lang w:val="en-US"/>
        </w:rPr>
        <w:t>Based</w:t>
      </w:r>
      <w:r w:rsidR="00DE28E0" w:rsidRPr="00046784">
        <w:rPr>
          <w:rFonts w:ascii="Arial" w:hAnsi="Arial" w:cs="Arial"/>
          <w:lang w:val="en-US"/>
        </w:rPr>
        <w:t xml:space="preserve"> on the discussion in section 2, we </w:t>
      </w:r>
      <w:r w:rsidR="00D63A11" w:rsidRPr="00046784">
        <w:rPr>
          <w:rFonts w:ascii="Arial" w:hAnsi="Arial" w:cs="Arial"/>
          <w:lang w:val="en-US"/>
        </w:rPr>
        <w:t>have the following observation</w:t>
      </w:r>
      <w:r w:rsidR="00161D41">
        <w:rPr>
          <w:rFonts w:ascii="Arial" w:hAnsi="Arial" w:cs="Arial"/>
          <w:lang w:val="en-US"/>
        </w:rPr>
        <w:t>s</w:t>
      </w:r>
      <w:r w:rsidR="00D63A11" w:rsidRPr="00046784">
        <w:rPr>
          <w:rFonts w:ascii="Arial" w:hAnsi="Arial" w:cs="Arial"/>
          <w:lang w:val="en-US"/>
        </w:rPr>
        <w:t xml:space="preserve"> and proposals</w:t>
      </w:r>
      <w:r w:rsidR="00DE28E0" w:rsidRPr="00046784">
        <w:rPr>
          <w:rFonts w:ascii="Arial" w:hAnsi="Arial" w:cs="Arial"/>
          <w:lang w:val="en-US"/>
        </w:rPr>
        <w:t>:</w:t>
      </w:r>
    </w:p>
    <w:p w14:paraId="1D5AD57F" w14:textId="77777777" w:rsidR="00B20055" w:rsidRDefault="00B20055" w:rsidP="00677AC0">
      <w:pPr>
        <w:spacing w:after="0"/>
        <w:rPr>
          <w:rFonts w:ascii="Arial" w:hAnsi="Arial" w:cs="Arial"/>
          <w:lang w:val="en-US"/>
        </w:rPr>
      </w:pPr>
    </w:p>
    <w:p w14:paraId="73E04D64" w14:textId="6DD0CF91" w:rsidR="00B20055" w:rsidRPr="001F13A1" w:rsidRDefault="001F13A1" w:rsidP="00677AC0">
      <w:pPr>
        <w:spacing w:after="0"/>
        <w:rPr>
          <w:rFonts w:ascii="Arial" w:hAnsi="Arial" w:cs="Arial"/>
          <w:u w:val="single"/>
          <w:lang w:val="en-US"/>
        </w:rPr>
      </w:pPr>
      <w:r w:rsidRPr="001F13A1">
        <w:rPr>
          <w:rFonts w:ascii="Arial" w:hAnsi="Arial" w:cs="Arial"/>
          <w:u w:val="single"/>
          <w:lang w:val="en-US"/>
        </w:rPr>
        <w:t>Measurement</w:t>
      </w:r>
    </w:p>
    <w:p w14:paraId="25FB08E9" w14:textId="77777777" w:rsidR="00232C96" w:rsidRDefault="00232C96" w:rsidP="005D2466">
      <w:pPr>
        <w:pStyle w:val="Doc-text2"/>
        <w:tabs>
          <w:tab w:val="left" w:pos="340"/>
        </w:tabs>
        <w:ind w:left="0" w:firstLine="0"/>
        <w:jc w:val="both"/>
        <w:rPr>
          <w:rFonts w:cs="Arial"/>
          <w:b/>
        </w:rPr>
      </w:pPr>
    </w:p>
    <w:p w14:paraId="4D1BE737" w14:textId="77777777" w:rsidR="00AF723C" w:rsidRPr="00AF723C" w:rsidRDefault="00AF723C" w:rsidP="00403B58">
      <w:pPr>
        <w:spacing w:after="0"/>
        <w:jc w:val="both"/>
        <w:rPr>
          <w:rFonts w:ascii="Arial" w:hAnsi="Arial" w:cs="Arial"/>
          <w:b/>
          <w:lang w:val="en-US"/>
        </w:rPr>
      </w:pPr>
      <w:r w:rsidRPr="00AF723C">
        <w:rPr>
          <w:rFonts w:ascii="Arial" w:hAnsi="Arial" w:cs="Arial"/>
          <w:b/>
          <w:lang w:val="en-US"/>
        </w:rPr>
        <w:t xml:space="preserve">Observation 1: RAN1 agreed to consider more than one sync signal. RAN1 conclusions on RS signal design may impact RAN2 mobility procedure.  </w:t>
      </w:r>
    </w:p>
    <w:p w14:paraId="69B93D0A" w14:textId="77777777" w:rsidR="00F22098" w:rsidRDefault="00F22098" w:rsidP="00403B58">
      <w:pPr>
        <w:spacing w:after="0"/>
        <w:jc w:val="both"/>
        <w:rPr>
          <w:rFonts w:ascii="Arial" w:hAnsi="Arial" w:cs="Arial"/>
          <w:lang w:val="en-US"/>
        </w:rPr>
      </w:pPr>
    </w:p>
    <w:p w14:paraId="02A46824" w14:textId="77777777" w:rsidR="00AF723C" w:rsidRPr="00AF723C" w:rsidRDefault="00AF723C" w:rsidP="00403B58">
      <w:pPr>
        <w:spacing w:after="0"/>
        <w:jc w:val="both"/>
        <w:rPr>
          <w:rFonts w:ascii="Arial" w:hAnsi="Arial" w:cs="Arial"/>
          <w:b/>
          <w:lang w:val="en-US"/>
        </w:rPr>
      </w:pPr>
      <w:r w:rsidRPr="00AF723C">
        <w:rPr>
          <w:rFonts w:ascii="Arial" w:hAnsi="Arial" w:cs="Arial"/>
          <w:b/>
          <w:lang w:val="en-US"/>
        </w:rPr>
        <w:t>Proposal 1: RAN2 should aim to have a unified measurement configuration for the purposes of CONNECTED mode mobility, beam management, and early CSI acquisition. RAN2 assumes that same RS could be used for these purposes.</w:t>
      </w:r>
    </w:p>
    <w:p w14:paraId="23846E30" w14:textId="77777777" w:rsidR="00AF723C" w:rsidRDefault="00AF723C" w:rsidP="00403B58">
      <w:pPr>
        <w:spacing w:after="0"/>
        <w:jc w:val="both"/>
        <w:rPr>
          <w:rFonts w:ascii="Arial" w:hAnsi="Arial" w:cs="Arial"/>
          <w:lang w:val="en-US"/>
        </w:rPr>
      </w:pPr>
    </w:p>
    <w:p w14:paraId="4ED14BEA" w14:textId="77777777" w:rsidR="00AF723C" w:rsidRPr="00AF723C" w:rsidRDefault="00AF723C" w:rsidP="00403B58">
      <w:pPr>
        <w:spacing w:after="0"/>
        <w:jc w:val="both"/>
        <w:rPr>
          <w:rFonts w:ascii="Arial" w:hAnsi="Arial" w:cs="Arial"/>
          <w:b/>
          <w:lang w:val="en-US"/>
        </w:rPr>
      </w:pPr>
      <w:r w:rsidRPr="00AF723C">
        <w:rPr>
          <w:rFonts w:ascii="Arial" w:hAnsi="Arial" w:cs="Arial"/>
          <w:b/>
          <w:lang w:val="en-US"/>
        </w:rPr>
        <w:t>Observation 2: In NR, the measurement requirement is coupled with the report container (i.e. where to report the measurement result).</w:t>
      </w:r>
    </w:p>
    <w:p w14:paraId="62E506A5" w14:textId="77777777" w:rsidR="00AF723C" w:rsidRDefault="00AF723C" w:rsidP="00403B58">
      <w:pPr>
        <w:spacing w:after="0"/>
        <w:jc w:val="both"/>
        <w:rPr>
          <w:rFonts w:ascii="Arial" w:hAnsi="Arial" w:cs="Arial"/>
          <w:lang w:val="en-US"/>
        </w:rPr>
      </w:pPr>
    </w:p>
    <w:p w14:paraId="455B1A88" w14:textId="77777777" w:rsidR="00AF723C" w:rsidRPr="00AF723C" w:rsidRDefault="00AF723C" w:rsidP="00403B58">
      <w:pPr>
        <w:spacing w:after="0"/>
        <w:jc w:val="both"/>
        <w:rPr>
          <w:rFonts w:ascii="Arial" w:hAnsi="Arial" w:cs="Arial"/>
          <w:b/>
          <w:lang w:val="en-US"/>
        </w:rPr>
      </w:pPr>
      <w:r w:rsidRPr="00AF723C">
        <w:rPr>
          <w:rFonts w:ascii="Arial" w:hAnsi="Arial" w:cs="Arial"/>
          <w:b/>
          <w:lang w:val="en-US"/>
        </w:rPr>
        <w:t xml:space="preserve">Proposal 2: RAN2 should aim to have a unified measurement reporting for the purposes of CONNECTED mode mobility and beam management. FFS the report is in RRC or MAC-CE. </w:t>
      </w:r>
    </w:p>
    <w:p w14:paraId="1CA6D576" w14:textId="77777777" w:rsidR="001B2708" w:rsidRDefault="001B2708" w:rsidP="00677AC0">
      <w:pPr>
        <w:spacing w:after="0"/>
        <w:rPr>
          <w:rFonts w:ascii="Arial" w:hAnsi="Arial" w:cs="Arial"/>
          <w:lang w:val="en-US"/>
        </w:rPr>
      </w:pPr>
    </w:p>
    <w:p w14:paraId="450A7E30" w14:textId="32720862" w:rsidR="001F13A1" w:rsidRPr="001F13A1" w:rsidRDefault="001F13A1" w:rsidP="00677AC0">
      <w:pPr>
        <w:spacing w:after="0"/>
        <w:rPr>
          <w:rFonts w:ascii="Arial" w:hAnsi="Arial" w:cs="Arial"/>
          <w:u w:val="single"/>
          <w:lang w:val="en-US"/>
        </w:rPr>
      </w:pPr>
      <w:r w:rsidRPr="001F13A1">
        <w:rPr>
          <w:rFonts w:ascii="Arial" w:hAnsi="Arial" w:cs="Arial"/>
          <w:u w:val="single"/>
          <w:lang w:val="en-US"/>
        </w:rPr>
        <w:t>Measurement Gap</w:t>
      </w:r>
    </w:p>
    <w:p w14:paraId="50A5B689" w14:textId="77777777" w:rsidR="005D2466" w:rsidRDefault="005D2466" w:rsidP="00677AC0">
      <w:pPr>
        <w:spacing w:after="0"/>
        <w:rPr>
          <w:rFonts w:ascii="Arial" w:hAnsi="Arial" w:cs="Arial"/>
          <w:lang w:val="en-US"/>
        </w:rPr>
      </w:pPr>
    </w:p>
    <w:p w14:paraId="4ECCCAE8" w14:textId="77777777" w:rsidR="00620459" w:rsidRPr="00620459" w:rsidRDefault="00620459" w:rsidP="00403B58">
      <w:pPr>
        <w:spacing w:after="0"/>
        <w:jc w:val="both"/>
        <w:rPr>
          <w:rFonts w:ascii="Arial" w:hAnsi="Arial" w:cs="Arial"/>
          <w:b/>
        </w:rPr>
      </w:pPr>
      <w:r w:rsidRPr="00620459">
        <w:rPr>
          <w:rFonts w:ascii="Arial" w:hAnsi="Arial" w:cs="Arial"/>
          <w:b/>
        </w:rPr>
        <w:t>Observation 3: There is no measurement gap capability signaling in first NR release. The network has to configure measurement gap by default for inter-frequency measurement.</w:t>
      </w:r>
    </w:p>
    <w:p w14:paraId="21911567" w14:textId="77777777" w:rsidR="00620459" w:rsidRPr="00620459" w:rsidRDefault="00620459" w:rsidP="00403B58">
      <w:pPr>
        <w:spacing w:after="0"/>
        <w:jc w:val="both"/>
        <w:rPr>
          <w:rFonts w:ascii="Arial" w:hAnsi="Arial" w:cs="Arial"/>
          <w:bCs/>
          <w:lang w:val="en-US"/>
        </w:rPr>
      </w:pPr>
    </w:p>
    <w:p w14:paraId="03238777" w14:textId="77777777" w:rsidR="006F301D" w:rsidRPr="006F301D" w:rsidRDefault="006F301D" w:rsidP="00403B58">
      <w:pPr>
        <w:spacing w:after="0"/>
        <w:jc w:val="both"/>
        <w:rPr>
          <w:rFonts w:ascii="Arial" w:hAnsi="Arial" w:cs="Arial"/>
          <w:b/>
          <w:bCs/>
        </w:rPr>
      </w:pPr>
      <w:r w:rsidRPr="006F301D">
        <w:rPr>
          <w:rFonts w:ascii="Arial" w:hAnsi="Arial" w:cs="Arial"/>
          <w:b/>
        </w:rPr>
        <w:t xml:space="preserve">Proposal 3: For 6G measurement gap, RAN2 can start from the design of procedure and signalling to identify </w:t>
      </w:r>
      <w:r w:rsidRPr="006F301D">
        <w:rPr>
          <w:rFonts w:ascii="Arial" w:hAnsi="Arial" w:cs="Arial"/>
          <w:b/>
          <w:bCs/>
        </w:rPr>
        <w:t>reasonable option(s) to coordinate with RAN4</w:t>
      </w:r>
      <w:r w:rsidRPr="006F301D">
        <w:rPr>
          <w:rFonts w:ascii="Arial" w:hAnsi="Arial" w:cs="Arial"/>
          <w:b/>
        </w:rPr>
        <w:t>.</w:t>
      </w:r>
    </w:p>
    <w:p w14:paraId="328D0287" w14:textId="77777777" w:rsidR="00620459" w:rsidRDefault="00620459" w:rsidP="00403B58">
      <w:pPr>
        <w:spacing w:after="0"/>
        <w:jc w:val="both"/>
        <w:rPr>
          <w:rFonts w:ascii="Arial" w:hAnsi="Arial" w:cs="Arial"/>
        </w:rPr>
      </w:pPr>
    </w:p>
    <w:p w14:paraId="68ADB908" w14:textId="77777777" w:rsidR="00620459" w:rsidRPr="00620459" w:rsidRDefault="00620459" w:rsidP="00403B58">
      <w:pPr>
        <w:spacing w:after="0"/>
        <w:jc w:val="both"/>
        <w:rPr>
          <w:rFonts w:ascii="Arial" w:hAnsi="Arial" w:cs="Arial"/>
          <w:b/>
        </w:rPr>
      </w:pPr>
      <w:r w:rsidRPr="00620459">
        <w:rPr>
          <w:rFonts w:ascii="Arial" w:hAnsi="Arial" w:cs="Arial"/>
          <w:b/>
        </w:rPr>
        <w:t xml:space="preserve">Observation 4: </w:t>
      </w:r>
      <w:r w:rsidRPr="00620459">
        <w:rPr>
          <w:rFonts w:ascii="Arial" w:hAnsi="Arial" w:cs="Arial"/>
          <w:b/>
          <w:lang w:val="en-US"/>
        </w:rPr>
        <w:t>Multiple MG-related features, e.g., Pre-MG, Con-MG, NCSG, was not included in 5G Day-1, which increase</w:t>
      </w:r>
      <w:r w:rsidRPr="00620459">
        <w:rPr>
          <w:rFonts w:ascii="Arial" w:hAnsi="Arial" w:cs="Arial"/>
          <w:b/>
        </w:rPr>
        <w:t xml:space="preserve"> the complexity to support different features.</w:t>
      </w:r>
    </w:p>
    <w:p w14:paraId="0E0BDFD3" w14:textId="77777777" w:rsidR="00620459" w:rsidRDefault="00620459" w:rsidP="00403B58">
      <w:pPr>
        <w:spacing w:after="0"/>
        <w:jc w:val="both"/>
        <w:rPr>
          <w:rFonts w:ascii="Arial" w:hAnsi="Arial" w:cs="Arial"/>
        </w:rPr>
      </w:pPr>
    </w:p>
    <w:p w14:paraId="77255C23" w14:textId="77777777" w:rsidR="00620459" w:rsidRPr="00620459" w:rsidRDefault="00620459" w:rsidP="00403B58">
      <w:pPr>
        <w:spacing w:after="0"/>
        <w:jc w:val="both"/>
        <w:rPr>
          <w:rFonts w:ascii="Arial" w:hAnsi="Arial" w:cs="Arial"/>
          <w:b/>
        </w:rPr>
      </w:pPr>
      <w:r w:rsidRPr="00620459">
        <w:rPr>
          <w:rFonts w:ascii="Arial" w:hAnsi="Arial" w:cs="Arial"/>
          <w:b/>
        </w:rPr>
        <w:t xml:space="preserve">Proposal 4: RAN2 aim to </w:t>
      </w:r>
      <w:r w:rsidRPr="00620459">
        <w:rPr>
          <w:rFonts w:ascii="Arial" w:hAnsi="Arial" w:cs="Arial"/>
          <w:b/>
          <w:lang w:val="en-US"/>
        </w:rPr>
        <w:t>design a measurement gap signaling framework</w:t>
      </w:r>
      <w:r w:rsidRPr="00620459">
        <w:rPr>
          <w:rFonts w:ascii="Arial" w:hAnsi="Arial" w:cs="Arial"/>
          <w:b/>
        </w:rPr>
        <w:t xml:space="preserve"> that allows UE to request measurement gap dynamically based on current UE configuration and status.</w:t>
      </w:r>
    </w:p>
    <w:p w14:paraId="0D120547" w14:textId="77777777" w:rsidR="00A80212" w:rsidRDefault="00A80212" w:rsidP="00677AC0">
      <w:pPr>
        <w:spacing w:after="0"/>
        <w:rPr>
          <w:rFonts w:ascii="Arial" w:hAnsi="Arial" w:cs="Arial"/>
          <w:lang w:val="en-US"/>
        </w:rPr>
      </w:pPr>
    </w:p>
    <w:p w14:paraId="76978DD0" w14:textId="719E8DEE" w:rsidR="001F13A1" w:rsidRPr="001F13A1" w:rsidRDefault="00FC0AEF" w:rsidP="00677AC0">
      <w:pPr>
        <w:spacing w:after="0"/>
        <w:rPr>
          <w:rFonts w:ascii="Arial" w:hAnsi="Arial" w:cs="Arial"/>
          <w:u w:val="single"/>
          <w:lang w:val="en-US"/>
        </w:rPr>
      </w:pPr>
      <w:r>
        <w:rPr>
          <w:rFonts w:ascii="Arial" w:hAnsi="Arial" w:cs="Arial"/>
          <w:u w:val="single"/>
          <w:lang w:val="en-US"/>
        </w:rPr>
        <w:t>Mobility Procedure</w:t>
      </w:r>
    </w:p>
    <w:p w14:paraId="42718621" w14:textId="77777777" w:rsidR="00232C96" w:rsidRDefault="00232C96" w:rsidP="0091597E">
      <w:pPr>
        <w:spacing w:after="0"/>
        <w:jc w:val="both"/>
        <w:rPr>
          <w:rFonts w:ascii="Arial" w:hAnsi="Arial" w:cs="Arial"/>
          <w:b/>
          <w:bCs/>
          <w:lang w:val="en-US"/>
        </w:rPr>
      </w:pPr>
    </w:p>
    <w:p w14:paraId="41487DF4" w14:textId="77777777" w:rsidR="00B33658" w:rsidRPr="00B33658" w:rsidRDefault="00B33658" w:rsidP="00403B58">
      <w:pPr>
        <w:spacing w:after="0"/>
        <w:jc w:val="both"/>
        <w:rPr>
          <w:rFonts w:ascii="Arial" w:hAnsi="Arial" w:cs="Arial"/>
          <w:b/>
          <w:bCs/>
          <w:lang w:val="en-US"/>
        </w:rPr>
      </w:pPr>
      <w:r w:rsidRPr="00B33658">
        <w:rPr>
          <w:rFonts w:ascii="Arial" w:hAnsi="Arial" w:cs="Arial"/>
          <w:b/>
          <w:bCs/>
          <w:lang w:val="en-US"/>
        </w:rPr>
        <w:t>Proposal 5: RAN2 to study a 6G mobility procedure with forward compatibility. The intention is NOT to create a new procedure every time we want to improve some part of mobility functionality in later releases.</w:t>
      </w:r>
    </w:p>
    <w:p w14:paraId="65466B09" w14:textId="77777777" w:rsidR="00356F76" w:rsidRDefault="00356F76" w:rsidP="00403B58">
      <w:pPr>
        <w:spacing w:after="0"/>
        <w:jc w:val="both"/>
        <w:rPr>
          <w:rFonts w:ascii="Arial" w:hAnsi="Arial" w:cs="Arial"/>
          <w:b/>
          <w:lang w:val="en-US"/>
        </w:rPr>
      </w:pPr>
    </w:p>
    <w:p w14:paraId="3B52FC5A" w14:textId="77777777" w:rsidR="00B33658" w:rsidRPr="00B33658" w:rsidRDefault="00B33658" w:rsidP="00403B58">
      <w:pPr>
        <w:spacing w:after="0"/>
        <w:jc w:val="both"/>
        <w:rPr>
          <w:rFonts w:ascii="Arial" w:hAnsi="Arial" w:cs="Arial"/>
          <w:b/>
          <w:bCs/>
          <w:lang w:val="en-US"/>
        </w:rPr>
      </w:pPr>
      <w:r w:rsidRPr="00B33658">
        <w:rPr>
          <w:rFonts w:ascii="Arial" w:hAnsi="Arial" w:cs="Arial"/>
          <w:b/>
          <w:bCs/>
          <w:lang w:val="en-US"/>
        </w:rPr>
        <w:t>Proposal 6: As baseline, the mobility procedure is consisted of the following steps:</w:t>
      </w:r>
    </w:p>
    <w:p w14:paraId="79A7CD8D" w14:textId="77777777" w:rsidR="00B33658" w:rsidRPr="00B33658" w:rsidRDefault="00B33658">
      <w:pPr>
        <w:numPr>
          <w:ilvl w:val="0"/>
          <w:numId w:val="11"/>
        </w:numPr>
        <w:spacing w:after="0"/>
        <w:jc w:val="both"/>
        <w:rPr>
          <w:rFonts w:ascii="Arial" w:hAnsi="Arial" w:cs="Arial"/>
          <w:b/>
          <w:bCs/>
          <w:lang w:val="en-US"/>
        </w:rPr>
      </w:pPr>
      <w:r w:rsidRPr="00B33658">
        <w:rPr>
          <w:rFonts w:ascii="Arial" w:hAnsi="Arial" w:cs="Arial"/>
          <w:b/>
          <w:bCs/>
          <w:lang w:val="en-US"/>
        </w:rPr>
        <w:t>Pre-configuration (Candidate configurations and triggering conditions)</w:t>
      </w:r>
    </w:p>
    <w:p w14:paraId="358597A7" w14:textId="77777777" w:rsidR="00B33658" w:rsidRPr="00B33658" w:rsidRDefault="00B33658">
      <w:pPr>
        <w:numPr>
          <w:ilvl w:val="0"/>
          <w:numId w:val="11"/>
        </w:numPr>
        <w:spacing w:after="0"/>
        <w:jc w:val="both"/>
        <w:rPr>
          <w:rFonts w:ascii="Arial" w:hAnsi="Arial" w:cs="Arial"/>
          <w:b/>
          <w:bCs/>
          <w:lang w:val="en-US"/>
        </w:rPr>
      </w:pPr>
      <w:r w:rsidRPr="00B33658">
        <w:rPr>
          <w:rFonts w:ascii="Arial" w:hAnsi="Arial" w:cs="Arial"/>
          <w:b/>
          <w:bCs/>
          <w:lang w:val="en-US"/>
        </w:rPr>
        <w:t>Pre-processing (early DL/UL synchronization, early UE configuration processing, early CSI acquisition)</w:t>
      </w:r>
    </w:p>
    <w:p w14:paraId="6117BE34" w14:textId="77777777" w:rsidR="00B33658" w:rsidRPr="00B33658" w:rsidRDefault="00B33658">
      <w:pPr>
        <w:numPr>
          <w:ilvl w:val="0"/>
          <w:numId w:val="11"/>
        </w:numPr>
        <w:spacing w:after="0"/>
        <w:jc w:val="both"/>
        <w:rPr>
          <w:rFonts w:ascii="Arial" w:hAnsi="Arial" w:cs="Arial"/>
          <w:b/>
          <w:bCs/>
          <w:lang w:val="en-US"/>
        </w:rPr>
      </w:pPr>
      <w:r w:rsidRPr="00B33658">
        <w:rPr>
          <w:rFonts w:ascii="Arial" w:hAnsi="Arial" w:cs="Arial"/>
          <w:b/>
          <w:bCs/>
          <w:lang w:val="en-US"/>
        </w:rPr>
        <w:t>Triggering (both network-initiated and UE-initiated)</w:t>
      </w:r>
    </w:p>
    <w:p w14:paraId="66E8B73E" w14:textId="77777777" w:rsidR="00B33658" w:rsidRPr="00B33658" w:rsidRDefault="00B33658">
      <w:pPr>
        <w:numPr>
          <w:ilvl w:val="0"/>
          <w:numId w:val="11"/>
        </w:numPr>
        <w:spacing w:after="0"/>
        <w:jc w:val="both"/>
        <w:rPr>
          <w:rFonts w:ascii="Arial" w:hAnsi="Arial" w:cs="Arial"/>
          <w:b/>
          <w:bCs/>
          <w:lang w:val="en-US"/>
        </w:rPr>
      </w:pPr>
      <w:r w:rsidRPr="00B33658">
        <w:rPr>
          <w:rFonts w:ascii="Arial" w:hAnsi="Arial" w:cs="Arial"/>
          <w:b/>
          <w:bCs/>
          <w:lang w:val="en-US"/>
        </w:rPr>
        <w:t xml:space="preserve">Execution </w:t>
      </w:r>
    </w:p>
    <w:p w14:paraId="069A71E0" w14:textId="77777777" w:rsidR="00735197" w:rsidRDefault="00735197" w:rsidP="00403B58">
      <w:pPr>
        <w:spacing w:after="0"/>
        <w:jc w:val="both"/>
        <w:rPr>
          <w:rFonts w:ascii="Arial" w:hAnsi="Arial" w:cs="Arial"/>
          <w:lang w:val="en-US"/>
        </w:rPr>
      </w:pPr>
    </w:p>
    <w:p w14:paraId="0F04FB1E" w14:textId="7DC87A86" w:rsidR="008065C8" w:rsidRDefault="00C64F57" w:rsidP="00403B58">
      <w:pPr>
        <w:spacing w:after="0"/>
        <w:jc w:val="both"/>
        <w:rPr>
          <w:rFonts w:ascii="Arial" w:hAnsi="Arial" w:cs="Arial"/>
          <w:b/>
          <w:bCs/>
          <w:lang w:val="en-US"/>
        </w:rPr>
      </w:pPr>
      <w:r w:rsidRPr="00C64F57">
        <w:rPr>
          <w:rFonts w:ascii="Arial" w:hAnsi="Arial" w:cs="Arial"/>
          <w:b/>
          <w:bCs/>
          <w:lang w:val="en-US"/>
        </w:rPr>
        <w:t xml:space="preserve">Observation 5: In Legacy L3 handover or CHO, the UE just applies HO command and performs normal delta reconfiguration. But in LTM, the UE has to perform a new and complex LTM-specific configuration management (clause 5.3.5.18.6) first, which is largely specified to enable subsequent mobility. The UE needs to implement this complex step </w:t>
      </w:r>
      <w:proofErr w:type="gramStart"/>
      <w:r w:rsidRPr="00C64F57">
        <w:rPr>
          <w:rFonts w:ascii="Arial" w:hAnsi="Arial" w:cs="Arial"/>
          <w:b/>
          <w:bCs/>
          <w:lang w:val="en-US"/>
        </w:rPr>
        <w:t>regardless</w:t>
      </w:r>
      <w:proofErr w:type="gramEnd"/>
      <w:r w:rsidRPr="00C64F57">
        <w:rPr>
          <w:rFonts w:ascii="Arial" w:hAnsi="Arial" w:cs="Arial"/>
          <w:b/>
          <w:bCs/>
          <w:lang w:val="en-US"/>
        </w:rPr>
        <w:t xml:space="preserve"> whether the network actually applies subsequent mobility or not.</w:t>
      </w:r>
    </w:p>
    <w:p w14:paraId="2A6B14DA" w14:textId="77777777" w:rsidR="00C64F57" w:rsidRPr="008065C8" w:rsidRDefault="00C64F57" w:rsidP="00403B58">
      <w:pPr>
        <w:spacing w:after="0"/>
        <w:jc w:val="both"/>
        <w:rPr>
          <w:rFonts w:ascii="Arial" w:hAnsi="Arial" w:cs="Arial"/>
          <w:lang w:val="en-US"/>
        </w:rPr>
      </w:pPr>
    </w:p>
    <w:p w14:paraId="4D2254A3" w14:textId="77777777" w:rsidR="008065C8" w:rsidRPr="008065C8" w:rsidRDefault="008065C8" w:rsidP="00403B58">
      <w:pPr>
        <w:spacing w:after="0"/>
        <w:jc w:val="both"/>
        <w:rPr>
          <w:rFonts w:ascii="Arial" w:hAnsi="Arial" w:cs="Arial"/>
          <w:b/>
          <w:bCs/>
          <w:lang w:val="en-US"/>
        </w:rPr>
      </w:pPr>
      <w:r w:rsidRPr="008065C8">
        <w:rPr>
          <w:rFonts w:ascii="Arial" w:hAnsi="Arial" w:cs="Arial"/>
          <w:b/>
          <w:bCs/>
          <w:lang w:val="en-US"/>
        </w:rPr>
        <w:t xml:space="preserve">Observation 6: There is no implementation on LTM reference configuration. </w:t>
      </w:r>
    </w:p>
    <w:p w14:paraId="5D1409D5" w14:textId="77777777" w:rsidR="00553A03" w:rsidRDefault="00553A03" w:rsidP="00403B58">
      <w:pPr>
        <w:spacing w:after="0"/>
        <w:jc w:val="both"/>
        <w:rPr>
          <w:rFonts w:ascii="Arial" w:hAnsi="Arial" w:cs="Arial"/>
          <w:lang w:val="en-US"/>
        </w:rPr>
      </w:pPr>
    </w:p>
    <w:p w14:paraId="78142603" w14:textId="474BAB48" w:rsidR="000B2A04" w:rsidRPr="000B2A04" w:rsidRDefault="000B2A04" w:rsidP="00403B58">
      <w:pPr>
        <w:spacing w:after="0"/>
        <w:jc w:val="both"/>
        <w:rPr>
          <w:rFonts w:ascii="Arial" w:hAnsi="Arial" w:cs="Arial"/>
          <w:b/>
          <w:bCs/>
          <w:lang w:val="en-US"/>
        </w:rPr>
      </w:pPr>
      <w:r w:rsidRPr="000B2A04">
        <w:rPr>
          <w:rFonts w:ascii="Arial" w:hAnsi="Arial" w:cs="Arial"/>
          <w:b/>
          <w:bCs/>
          <w:lang w:val="en-US"/>
        </w:rPr>
        <w:t xml:space="preserve">Proposal 7: The subsequent </w:t>
      </w:r>
      <w:r w:rsidR="001E3322" w:rsidRPr="001E3322">
        <w:rPr>
          <w:rFonts w:ascii="Arial" w:hAnsi="Arial" w:cs="Arial"/>
          <w:b/>
          <w:bCs/>
          <w:lang w:val="en-US"/>
        </w:rPr>
        <w:t xml:space="preserve">mobility </w:t>
      </w:r>
      <w:r w:rsidRPr="000B2A04">
        <w:rPr>
          <w:rFonts w:ascii="Arial" w:hAnsi="Arial" w:cs="Arial"/>
          <w:b/>
          <w:bCs/>
          <w:lang w:val="en-US"/>
        </w:rPr>
        <w:t>and reference configuration as in NR LTM should NOT be supported in 6G. RAN2 to study whether to support subsequent mobility, and if yes, how to support it in a simpler way.</w:t>
      </w:r>
    </w:p>
    <w:p w14:paraId="47F51382" w14:textId="77777777" w:rsidR="00553A03" w:rsidRDefault="00553A03" w:rsidP="00677AC0">
      <w:pPr>
        <w:spacing w:after="0"/>
        <w:rPr>
          <w:rFonts w:ascii="Arial" w:hAnsi="Arial" w:cs="Arial"/>
          <w:lang w:val="en-US"/>
        </w:rPr>
      </w:pPr>
    </w:p>
    <w:p w14:paraId="60350EF2" w14:textId="77777777" w:rsidR="00553A03" w:rsidRDefault="00553A03" w:rsidP="00677AC0">
      <w:pPr>
        <w:spacing w:after="0"/>
        <w:rPr>
          <w:rFonts w:ascii="Arial" w:hAnsi="Arial" w:cs="Arial"/>
          <w:lang w:val="en-US"/>
        </w:rPr>
      </w:pPr>
    </w:p>
    <w:p w14:paraId="363EB4C9" w14:textId="1EAA421D" w:rsidR="00553A03" w:rsidRDefault="00553A03">
      <w:pPr>
        <w:spacing w:after="0"/>
        <w:rPr>
          <w:rFonts w:ascii="Arial" w:hAnsi="Arial" w:cs="Arial"/>
          <w:lang w:val="en-US"/>
        </w:rPr>
      </w:pPr>
      <w:r>
        <w:rPr>
          <w:rFonts w:ascii="Arial" w:hAnsi="Arial" w:cs="Arial"/>
          <w:lang w:val="en-US"/>
        </w:rPr>
        <w:br w:type="page"/>
      </w:r>
    </w:p>
    <w:p w14:paraId="330A4C0A" w14:textId="6170D0A3" w:rsidR="00EF622C" w:rsidRPr="00046784" w:rsidRDefault="006214DC" w:rsidP="00F54927">
      <w:pPr>
        <w:pStyle w:val="Heading1"/>
        <w:pBdr>
          <w:top w:val="single" w:sz="12" w:space="0" w:color="auto"/>
        </w:pBdr>
        <w:rPr>
          <w:lang w:val="en-US" w:eastAsia="ko-KR"/>
        </w:rPr>
      </w:pPr>
      <w:r w:rsidRPr="00046784">
        <w:rPr>
          <w:lang w:val="en-US" w:eastAsia="ko-KR"/>
        </w:rPr>
        <w:lastRenderedPageBreak/>
        <w:t>4</w:t>
      </w:r>
      <w:r w:rsidR="00EF622C" w:rsidRPr="00046784">
        <w:rPr>
          <w:lang w:val="en-US" w:eastAsia="ko-KR"/>
        </w:rPr>
        <w:t xml:space="preserve"> References</w:t>
      </w:r>
    </w:p>
    <w:p w14:paraId="28CF3DCF" w14:textId="29373697" w:rsidR="009E2548" w:rsidRPr="00046784" w:rsidRDefault="00217ED3" w:rsidP="00EF6B92">
      <w:pPr>
        <w:spacing w:after="60"/>
        <w:rPr>
          <w:rFonts w:ascii="Arial" w:hAnsi="Arial" w:cs="Arial"/>
          <w:lang w:val="en-US" w:eastAsia="ko-KR"/>
        </w:rPr>
      </w:pPr>
      <w:r w:rsidRPr="00046784">
        <w:rPr>
          <w:rFonts w:ascii="Arial" w:hAnsi="Arial" w:cs="Arial"/>
          <w:lang w:val="en-US" w:eastAsia="ko-KR"/>
        </w:rPr>
        <w:t>[1</w:t>
      </w:r>
      <w:r w:rsidR="00A979AD" w:rsidRPr="00046784">
        <w:rPr>
          <w:rFonts w:ascii="Arial" w:hAnsi="Arial" w:cs="Arial"/>
          <w:lang w:val="en-US" w:eastAsia="ko-KR"/>
        </w:rPr>
        <w:t>]</w:t>
      </w:r>
      <w:r w:rsidR="00D872C4" w:rsidRPr="00046784">
        <w:rPr>
          <w:rFonts w:ascii="Arial" w:hAnsi="Arial" w:cs="Arial"/>
          <w:lang w:val="en-US" w:eastAsia="ko-KR"/>
        </w:rPr>
        <w:t xml:space="preserve"> </w:t>
      </w:r>
      <w:r w:rsidR="002813D6" w:rsidRPr="00046784">
        <w:rPr>
          <w:rFonts w:ascii="Arial" w:hAnsi="Arial" w:cs="Arial"/>
          <w:lang w:val="en-US" w:eastAsia="ko-KR"/>
        </w:rPr>
        <w:t>RP-251881</w:t>
      </w:r>
      <w:r w:rsidR="00593588">
        <w:rPr>
          <w:rFonts w:ascii="Arial" w:hAnsi="Arial" w:cs="Arial"/>
          <w:lang w:val="en-US" w:eastAsia="ko-KR"/>
        </w:rPr>
        <w:t xml:space="preserve">, </w:t>
      </w:r>
      <w:r w:rsidR="002813D6" w:rsidRPr="00046784">
        <w:rPr>
          <w:rFonts w:ascii="Arial" w:hAnsi="Arial" w:cs="Arial"/>
          <w:lang w:val="en-US" w:eastAsia="ko-KR"/>
        </w:rPr>
        <w:t>“3GPP Work Item Description - Study on 6G Radio”, NTT DOCOMO, RAN#108</w:t>
      </w:r>
    </w:p>
    <w:p w14:paraId="52858BFA" w14:textId="5D16F798" w:rsidR="00A22FBB" w:rsidRDefault="00A22FBB" w:rsidP="00EF6B92">
      <w:pPr>
        <w:spacing w:after="60"/>
        <w:rPr>
          <w:rFonts w:ascii="Arial" w:hAnsi="Arial" w:cs="Arial"/>
          <w:lang w:val="en-US" w:eastAsia="ko-KR"/>
        </w:rPr>
      </w:pPr>
      <w:r>
        <w:rPr>
          <w:rFonts w:ascii="Arial" w:hAnsi="Arial" w:cs="Arial"/>
          <w:lang w:val="en-US" w:eastAsia="ko-KR"/>
        </w:rPr>
        <w:t xml:space="preserve">[2] </w:t>
      </w:r>
      <w:r w:rsidRPr="00A22FBB">
        <w:rPr>
          <w:rFonts w:ascii="Arial" w:hAnsi="Arial" w:cs="Arial"/>
          <w:lang w:val="en-US" w:eastAsia="ko-KR"/>
        </w:rPr>
        <w:t>R2-2500151</w:t>
      </w:r>
      <w:r>
        <w:rPr>
          <w:rFonts w:ascii="Arial" w:hAnsi="Arial" w:cs="Arial"/>
          <w:lang w:val="en-US" w:eastAsia="ko-KR"/>
        </w:rPr>
        <w:t>, “</w:t>
      </w:r>
      <w:r w:rsidRPr="00A22FBB">
        <w:rPr>
          <w:rFonts w:ascii="Arial" w:hAnsi="Arial" w:cs="Arial"/>
          <w:lang w:val="en-US" w:eastAsia="ko-KR"/>
        </w:rPr>
        <w:t>Rel-18 LTM issues</w:t>
      </w:r>
      <w:r>
        <w:rPr>
          <w:rFonts w:ascii="Arial" w:hAnsi="Arial" w:cs="Arial"/>
          <w:lang w:val="en-US" w:eastAsia="ko-KR"/>
        </w:rPr>
        <w:t>”, MediaTek Inc., RAN2#129</w:t>
      </w:r>
    </w:p>
    <w:p w14:paraId="3DFB6FF2" w14:textId="6A6A99D0" w:rsidR="00D3212E" w:rsidRPr="00046784" w:rsidRDefault="00593588" w:rsidP="00EF6B92">
      <w:pPr>
        <w:spacing w:after="60"/>
        <w:rPr>
          <w:rFonts w:ascii="Arial" w:hAnsi="Arial" w:cs="Arial"/>
          <w:lang w:val="en-US" w:eastAsia="ko-KR"/>
        </w:rPr>
      </w:pPr>
      <w:r w:rsidRPr="000B2806">
        <w:rPr>
          <w:rFonts w:ascii="Arial" w:hAnsi="Arial" w:cs="Arial"/>
          <w:lang w:val="en-US" w:eastAsia="ko-KR"/>
        </w:rPr>
        <w:t>[</w:t>
      </w:r>
      <w:r w:rsidR="00A22FBB" w:rsidRPr="000B2806">
        <w:rPr>
          <w:rFonts w:ascii="Arial" w:hAnsi="Arial" w:cs="Arial"/>
          <w:lang w:val="en-US" w:eastAsia="ko-KR"/>
        </w:rPr>
        <w:t>3</w:t>
      </w:r>
      <w:r w:rsidRPr="000B2806">
        <w:rPr>
          <w:rFonts w:ascii="Arial" w:hAnsi="Arial" w:cs="Arial"/>
          <w:lang w:val="en-US" w:eastAsia="ko-KR"/>
        </w:rPr>
        <w:t xml:space="preserve">] </w:t>
      </w:r>
      <w:r w:rsidR="000B2806" w:rsidRPr="000B2806">
        <w:rPr>
          <w:rFonts w:ascii="Arial" w:hAnsi="Arial" w:cs="Arial"/>
          <w:lang w:val="en-US" w:eastAsia="ko-KR"/>
        </w:rPr>
        <w:t>R2-2600385</w:t>
      </w:r>
      <w:r w:rsidRPr="000B2806">
        <w:rPr>
          <w:rFonts w:ascii="Arial" w:hAnsi="Arial" w:cs="Arial"/>
          <w:lang w:val="en-US" w:eastAsia="ko-KR"/>
        </w:rPr>
        <w:t>, “</w:t>
      </w:r>
      <w:r w:rsidR="000B2806" w:rsidRPr="000B2806">
        <w:rPr>
          <w:rFonts w:ascii="Arial" w:hAnsi="Arial" w:cs="Arial"/>
          <w:lang w:val="en-US" w:eastAsia="ko-KR"/>
        </w:rPr>
        <w:t>UE Autonomous Adaptation on Network Configured Parameters</w:t>
      </w:r>
      <w:r w:rsidRPr="000B2806">
        <w:rPr>
          <w:rFonts w:ascii="Arial" w:hAnsi="Arial" w:cs="Arial"/>
          <w:lang w:val="en-US" w:eastAsia="ko-KR"/>
        </w:rPr>
        <w:t>”, MediaTek Inc., RAN2#133</w:t>
      </w:r>
    </w:p>
    <w:sectPr w:rsidR="00D3212E" w:rsidRPr="00046784" w:rsidSect="004D4A9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6ACDA" w14:textId="77777777" w:rsidR="00D50B27" w:rsidRDefault="00D50B27">
      <w:r>
        <w:separator/>
      </w:r>
    </w:p>
  </w:endnote>
  <w:endnote w:type="continuationSeparator" w:id="0">
    <w:p w14:paraId="5D688E09" w14:textId="77777777" w:rsidR="00D50B27" w:rsidRDefault="00D50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E0AB2" w14:textId="77777777" w:rsidR="00D50B27" w:rsidRDefault="00D50B27">
      <w:r>
        <w:separator/>
      </w:r>
    </w:p>
  </w:footnote>
  <w:footnote w:type="continuationSeparator" w:id="0">
    <w:p w14:paraId="439D2DF6" w14:textId="77777777" w:rsidR="00D50B27" w:rsidRDefault="00D50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438CB"/>
    <w:multiLevelType w:val="hybridMultilevel"/>
    <w:tmpl w:val="7256E9FE"/>
    <w:lvl w:ilvl="0" w:tplc="FD5072EC">
      <w:numFmt w:val="decimal"/>
      <w:lvlText w:val="-"/>
      <w:lvlJc w:val="left"/>
      <w:pPr>
        <w:ind w:left="1619" w:hanging="360"/>
      </w:pPr>
      <w:rPr>
        <w:rFonts w:ascii="Arial" w:eastAsia="SimSun" w:hAnsi="Arial" w:cs="Aria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B8307D9"/>
    <w:multiLevelType w:val="hybridMultilevel"/>
    <w:tmpl w:val="3C306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49368D"/>
    <w:multiLevelType w:val="hybridMultilevel"/>
    <w:tmpl w:val="5032DFCC"/>
    <w:lvl w:ilvl="0" w:tplc="2EDC1C20">
      <w:start w:val="1"/>
      <w:numFmt w:val="decimal"/>
      <w:lvlText w:val="%1."/>
      <w:lvlJc w:val="left"/>
      <w:pPr>
        <w:tabs>
          <w:tab w:val="num" w:pos="1619"/>
        </w:tabs>
        <w:ind w:left="1619" w:hanging="360"/>
      </w:pPr>
      <w:rPr>
        <w:b/>
        <w:i w:val="0"/>
        <w:color w:val="auto"/>
        <w:sz w:val="22"/>
      </w:rPr>
    </w:lvl>
    <w:lvl w:ilvl="1" w:tplc="FFFFFFFF">
      <w:numFmt w:val="decimal"/>
      <w:lvlText w:val="o"/>
      <w:lvlJc w:val="left"/>
      <w:pPr>
        <w:tabs>
          <w:tab w:val="num" w:pos="1440"/>
        </w:tabs>
        <w:ind w:left="1440" w:hanging="360"/>
      </w:pPr>
      <w:rPr>
        <w:rFonts w:ascii="Courier New" w:hAnsi="Courier New" w:cs="Courier New" w:hint="default"/>
      </w:rPr>
    </w:lvl>
    <w:lvl w:ilvl="2" w:tplc="FFFFFFFF">
      <w:numFmt w:val="decimal"/>
      <w:lvlText w:val=""/>
      <w:lvlJc w:val="left"/>
      <w:pPr>
        <w:tabs>
          <w:tab w:val="num" w:pos="2160"/>
        </w:tabs>
        <w:ind w:left="2160" w:hanging="360"/>
      </w:pPr>
      <w:rPr>
        <w:rFonts w:ascii="Wingdings" w:hAnsi="Wingdings" w:hint="default"/>
      </w:rPr>
    </w:lvl>
    <w:lvl w:ilvl="3" w:tplc="FFFFFFFF">
      <w:numFmt w:val="decimal"/>
      <w:lvlText w:val=""/>
      <w:lvlJc w:val="left"/>
      <w:pPr>
        <w:tabs>
          <w:tab w:val="num" w:pos="2880"/>
        </w:tabs>
        <w:ind w:left="2880" w:hanging="360"/>
      </w:pPr>
      <w:rPr>
        <w:rFonts w:ascii="Symbol" w:hAnsi="Symbol" w:hint="default"/>
      </w:rPr>
    </w:lvl>
    <w:lvl w:ilvl="4" w:tplc="FFFFFFFF">
      <w:numFmt w:val="decimal"/>
      <w:lvlText w:val="o"/>
      <w:lvlJc w:val="left"/>
      <w:pPr>
        <w:tabs>
          <w:tab w:val="num" w:pos="3600"/>
        </w:tabs>
        <w:ind w:left="3600" w:hanging="360"/>
      </w:pPr>
      <w:rPr>
        <w:rFonts w:ascii="Courier New" w:hAnsi="Courier New" w:cs="Courier New" w:hint="default"/>
      </w:rPr>
    </w:lvl>
    <w:lvl w:ilvl="5" w:tplc="FFFFFFFF">
      <w:numFmt w:val="decimal"/>
      <w:lvlText w:val=""/>
      <w:lvlJc w:val="left"/>
      <w:pPr>
        <w:tabs>
          <w:tab w:val="num" w:pos="4320"/>
        </w:tabs>
        <w:ind w:left="4320" w:hanging="360"/>
      </w:pPr>
      <w:rPr>
        <w:rFonts w:ascii="Wingdings" w:hAnsi="Wingdings" w:hint="default"/>
      </w:rPr>
    </w:lvl>
    <w:lvl w:ilvl="6" w:tplc="FFFFFFFF">
      <w:numFmt w:val="decimal"/>
      <w:lvlText w:val=""/>
      <w:lvlJc w:val="left"/>
      <w:pPr>
        <w:tabs>
          <w:tab w:val="num" w:pos="5040"/>
        </w:tabs>
        <w:ind w:left="5040" w:hanging="360"/>
      </w:pPr>
      <w:rPr>
        <w:rFonts w:ascii="Symbol" w:hAnsi="Symbol" w:hint="default"/>
      </w:rPr>
    </w:lvl>
    <w:lvl w:ilvl="7" w:tplc="FFFFFFFF">
      <w:numFmt w:val="decimal"/>
      <w:lvlText w:val="o"/>
      <w:lvlJc w:val="left"/>
      <w:pPr>
        <w:tabs>
          <w:tab w:val="num" w:pos="5760"/>
        </w:tabs>
        <w:ind w:left="5760" w:hanging="360"/>
      </w:pPr>
      <w:rPr>
        <w:rFonts w:ascii="Courier New" w:hAnsi="Courier New" w:cs="Courier New" w:hint="default"/>
      </w:rPr>
    </w:lvl>
    <w:lvl w:ilvl="8" w:tplc="FFFFFFFF">
      <w:numFmt w:val="decimal"/>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792E37AD"/>
    <w:multiLevelType w:val="multilevel"/>
    <w:tmpl w:val="3252C1CE"/>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833380636">
    <w:abstractNumId w:val="1"/>
  </w:num>
  <w:num w:numId="2" w16cid:durableId="1315796075">
    <w:abstractNumId w:val="4"/>
  </w:num>
  <w:num w:numId="3" w16cid:durableId="1130442439">
    <w:abstractNumId w:val="5"/>
  </w:num>
  <w:num w:numId="4" w16cid:durableId="25374482">
    <w:abstractNumId w:val="6"/>
  </w:num>
  <w:num w:numId="5" w16cid:durableId="1083456389">
    <w:abstractNumId w:val="7"/>
  </w:num>
  <w:num w:numId="6" w16cid:durableId="44915968">
    <w:abstractNumId w:val="2"/>
  </w:num>
  <w:num w:numId="7" w16cid:durableId="508721512">
    <w:abstractNumId w:val="2"/>
  </w:num>
  <w:num w:numId="8" w16cid:durableId="158808496">
    <w:abstractNumId w:val="0"/>
  </w:num>
  <w:num w:numId="9" w16cid:durableId="247616218">
    <w:abstractNumId w:val="3"/>
  </w:num>
  <w:num w:numId="10" w16cid:durableId="1144473434">
    <w:abstractNumId w:val="8"/>
  </w:num>
  <w:num w:numId="11" w16cid:durableId="151750277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5"/>
    <w:rsid w:val="00000354"/>
    <w:rsid w:val="00000475"/>
    <w:rsid w:val="00000BAB"/>
    <w:rsid w:val="00000ED3"/>
    <w:rsid w:val="00001216"/>
    <w:rsid w:val="0000144A"/>
    <w:rsid w:val="0000144E"/>
    <w:rsid w:val="00001684"/>
    <w:rsid w:val="00002542"/>
    <w:rsid w:val="00002795"/>
    <w:rsid w:val="000039DB"/>
    <w:rsid w:val="00003B68"/>
    <w:rsid w:val="00004E45"/>
    <w:rsid w:val="0000505D"/>
    <w:rsid w:val="00005AA0"/>
    <w:rsid w:val="00005C91"/>
    <w:rsid w:val="000060A1"/>
    <w:rsid w:val="00006B65"/>
    <w:rsid w:val="00006F92"/>
    <w:rsid w:val="000072F3"/>
    <w:rsid w:val="00007E67"/>
    <w:rsid w:val="00007FCB"/>
    <w:rsid w:val="00010097"/>
    <w:rsid w:val="000103C2"/>
    <w:rsid w:val="00011C91"/>
    <w:rsid w:val="0001209C"/>
    <w:rsid w:val="0001240B"/>
    <w:rsid w:val="00012B35"/>
    <w:rsid w:val="000137AC"/>
    <w:rsid w:val="00013E76"/>
    <w:rsid w:val="0001446E"/>
    <w:rsid w:val="000146BF"/>
    <w:rsid w:val="00014B48"/>
    <w:rsid w:val="00014C64"/>
    <w:rsid w:val="0001634A"/>
    <w:rsid w:val="0001638D"/>
    <w:rsid w:val="00016702"/>
    <w:rsid w:val="00016C2D"/>
    <w:rsid w:val="00016D38"/>
    <w:rsid w:val="00016F0D"/>
    <w:rsid w:val="000171C2"/>
    <w:rsid w:val="00017628"/>
    <w:rsid w:val="0002044B"/>
    <w:rsid w:val="0002085E"/>
    <w:rsid w:val="000209C9"/>
    <w:rsid w:val="00021297"/>
    <w:rsid w:val="00021755"/>
    <w:rsid w:val="00021FA4"/>
    <w:rsid w:val="00022D2D"/>
    <w:rsid w:val="00022E4A"/>
    <w:rsid w:val="0002317C"/>
    <w:rsid w:val="00023304"/>
    <w:rsid w:val="00023D1C"/>
    <w:rsid w:val="0002517E"/>
    <w:rsid w:val="000251B2"/>
    <w:rsid w:val="00025828"/>
    <w:rsid w:val="00025DD1"/>
    <w:rsid w:val="00025E82"/>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092D"/>
    <w:rsid w:val="00041034"/>
    <w:rsid w:val="00041085"/>
    <w:rsid w:val="00042602"/>
    <w:rsid w:val="0004283B"/>
    <w:rsid w:val="000429FF"/>
    <w:rsid w:val="00042DD0"/>
    <w:rsid w:val="00043031"/>
    <w:rsid w:val="000434CF"/>
    <w:rsid w:val="000435CB"/>
    <w:rsid w:val="00043820"/>
    <w:rsid w:val="00043990"/>
    <w:rsid w:val="00043E94"/>
    <w:rsid w:val="00045286"/>
    <w:rsid w:val="0004535F"/>
    <w:rsid w:val="00045B75"/>
    <w:rsid w:val="00046193"/>
    <w:rsid w:val="00046316"/>
    <w:rsid w:val="000466DA"/>
    <w:rsid w:val="00046784"/>
    <w:rsid w:val="0004696C"/>
    <w:rsid w:val="00046B2C"/>
    <w:rsid w:val="00046C1A"/>
    <w:rsid w:val="000475E2"/>
    <w:rsid w:val="00047D19"/>
    <w:rsid w:val="000500D0"/>
    <w:rsid w:val="000502F2"/>
    <w:rsid w:val="00050501"/>
    <w:rsid w:val="00050A6D"/>
    <w:rsid w:val="00050FED"/>
    <w:rsid w:val="00051913"/>
    <w:rsid w:val="00052CC7"/>
    <w:rsid w:val="00053C0E"/>
    <w:rsid w:val="00053DBC"/>
    <w:rsid w:val="00053EB7"/>
    <w:rsid w:val="000542CB"/>
    <w:rsid w:val="0005466B"/>
    <w:rsid w:val="00054B11"/>
    <w:rsid w:val="00054D4E"/>
    <w:rsid w:val="000556AB"/>
    <w:rsid w:val="000564E0"/>
    <w:rsid w:val="00056789"/>
    <w:rsid w:val="000575B3"/>
    <w:rsid w:val="00057E1E"/>
    <w:rsid w:val="00057F60"/>
    <w:rsid w:val="000615C4"/>
    <w:rsid w:val="00061674"/>
    <w:rsid w:val="000616F5"/>
    <w:rsid w:val="000617F2"/>
    <w:rsid w:val="00061902"/>
    <w:rsid w:val="0006197D"/>
    <w:rsid w:val="00062088"/>
    <w:rsid w:val="00062934"/>
    <w:rsid w:val="00062E4D"/>
    <w:rsid w:val="000637FC"/>
    <w:rsid w:val="000646CD"/>
    <w:rsid w:val="0006499F"/>
    <w:rsid w:val="00064A49"/>
    <w:rsid w:val="00064F5A"/>
    <w:rsid w:val="00066551"/>
    <w:rsid w:val="00066B84"/>
    <w:rsid w:val="00067112"/>
    <w:rsid w:val="0006742B"/>
    <w:rsid w:val="00067A94"/>
    <w:rsid w:val="00067C11"/>
    <w:rsid w:val="00067CC1"/>
    <w:rsid w:val="00067CEA"/>
    <w:rsid w:val="00070EBE"/>
    <w:rsid w:val="00071329"/>
    <w:rsid w:val="0007133A"/>
    <w:rsid w:val="00071782"/>
    <w:rsid w:val="00071E0C"/>
    <w:rsid w:val="00071E7E"/>
    <w:rsid w:val="00071F50"/>
    <w:rsid w:val="00072482"/>
    <w:rsid w:val="00072489"/>
    <w:rsid w:val="0007296F"/>
    <w:rsid w:val="00072FC3"/>
    <w:rsid w:val="0007339F"/>
    <w:rsid w:val="000745BA"/>
    <w:rsid w:val="00074F11"/>
    <w:rsid w:val="00075128"/>
    <w:rsid w:val="000758A5"/>
    <w:rsid w:val="00075F67"/>
    <w:rsid w:val="00076D65"/>
    <w:rsid w:val="00077746"/>
    <w:rsid w:val="0008019C"/>
    <w:rsid w:val="00080B67"/>
    <w:rsid w:val="0008245F"/>
    <w:rsid w:val="00082CAA"/>
    <w:rsid w:val="00084762"/>
    <w:rsid w:val="00084768"/>
    <w:rsid w:val="00084830"/>
    <w:rsid w:val="00084BDB"/>
    <w:rsid w:val="0008512B"/>
    <w:rsid w:val="00085800"/>
    <w:rsid w:val="000859A4"/>
    <w:rsid w:val="00086192"/>
    <w:rsid w:val="00086485"/>
    <w:rsid w:val="00087111"/>
    <w:rsid w:val="00087673"/>
    <w:rsid w:val="00090586"/>
    <w:rsid w:val="00090623"/>
    <w:rsid w:val="0009106B"/>
    <w:rsid w:val="000915E1"/>
    <w:rsid w:val="000916F3"/>
    <w:rsid w:val="00091C2A"/>
    <w:rsid w:val="00091D2A"/>
    <w:rsid w:val="00091E0F"/>
    <w:rsid w:val="000921FB"/>
    <w:rsid w:val="00092FA7"/>
    <w:rsid w:val="00093079"/>
    <w:rsid w:val="0009374C"/>
    <w:rsid w:val="00093DAE"/>
    <w:rsid w:val="00094490"/>
    <w:rsid w:val="00094840"/>
    <w:rsid w:val="00095608"/>
    <w:rsid w:val="0009580B"/>
    <w:rsid w:val="00096800"/>
    <w:rsid w:val="00096CA7"/>
    <w:rsid w:val="00096FFD"/>
    <w:rsid w:val="000970D2"/>
    <w:rsid w:val="00097CD5"/>
    <w:rsid w:val="000A04CC"/>
    <w:rsid w:val="000A0924"/>
    <w:rsid w:val="000A114C"/>
    <w:rsid w:val="000A11D3"/>
    <w:rsid w:val="000A2211"/>
    <w:rsid w:val="000A25E2"/>
    <w:rsid w:val="000A27AC"/>
    <w:rsid w:val="000A2BA4"/>
    <w:rsid w:val="000A4FD5"/>
    <w:rsid w:val="000A578F"/>
    <w:rsid w:val="000A6706"/>
    <w:rsid w:val="000A73D1"/>
    <w:rsid w:val="000A763C"/>
    <w:rsid w:val="000A799D"/>
    <w:rsid w:val="000B163A"/>
    <w:rsid w:val="000B2806"/>
    <w:rsid w:val="000B2A04"/>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1E34"/>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942"/>
    <w:rsid w:val="000C7C43"/>
    <w:rsid w:val="000D0AA6"/>
    <w:rsid w:val="000D0D1B"/>
    <w:rsid w:val="000D0EAD"/>
    <w:rsid w:val="000D1128"/>
    <w:rsid w:val="000D2258"/>
    <w:rsid w:val="000D2497"/>
    <w:rsid w:val="000D2743"/>
    <w:rsid w:val="000D2854"/>
    <w:rsid w:val="000D2D16"/>
    <w:rsid w:val="000D318D"/>
    <w:rsid w:val="000D3BDC"/>
    <w:rsid w:val="000D3DA8"/>
    <w:rsid w:val="000D44F7"/>
    <w:rsid w:val="000D4D67"/>
    <w:rsid w:val="000D5570"/>
    <w:rsid w:val="000D5BA7"/>
    <w:rsid w:val="000D711B"/>
    <w:rsid w:val="000D79F2"/>
    <w:rsid w:val="000D7C0A"/>
    <w:rsid w:val="000D7C11"/>
    <w:rsid w:val="000E025B"/>
    <w:rsid w:val="000E02D8"/>
    <w:rsid w:val="000E063E"/>
    <w:rsid w:val="000E0971"/>
    <w:rsid w:val="000E190A"/>
    <w:rsid w:val="000E195D"/>
    <w:rsid w:val="000E2FE6"/>
    <w:rsid w:val="000E32BA"/>
    <w:rsid w:val="000E3C08"/>
    <w:rsid w:val="000E3EA2"/>
    <w:rsid w:val="000E4059"/>
    <w:rsid w:val="000E438A"/>
    <w:rsid w:val="000E48C1"/>
    <w:rsid w:val="000E4A7B"/>
    <w:rsid w:val="000E5012"/>
    <w:rsid w:val="000E576C"/>
    <w:rsid w:val="000E6C3D"/>
    <w:rsid w:val="000E784C"/>
    <w:rsid w:val="000F0135"/>
    <w:rsid w:val="000F0675"/>
    <w:rsid w:val="000F2FFF"/>
    <w:rsid w:val="000F339D"/>
    <w:rsid w:val="000F411B"/>
    <w:rsid w:val="000F42A7"/>
    <w:rsid w:val="000F467F"/>
    <w:rsid w:val="000F4EC7"/>
    <w:rsid w:val="000F51F6"/>
    <w:rsid w:val="000F53AA"/>
    <w:rsid w:val="000F5DEC"/>
    <w:rsid w:val="000F5F5A"/>
    <w:rsid w:val="000F6927"/>
    <w:rsid w:val="000F754F"/>
    <w:rsid w:val="000F7C88"/>
    <w:rsid w:val="00100043"/>
    <w:rsid w:val="001003F5"/>
    <w:rsid w:val="0010165D"/>
    <w:rsid w:val="001018A3"/>
    <w:rsid w:val="00101D78"/>
    <w:rsid w:val="001027A0"/>
    <w:rsid w:val="00102E7D"/>
    <w:rsid w:val="00103445"/>
    <w:rsid w:val="00103634"/>
    <w:rsid w:val="00103830"/>
    <w:rsid w:val="001045AF"/>
    <w:rsid w:val="00104F02"/>
    <w:rsid w:val="0010501A"/>
    <w:rsid w:val="00105194"/>
    <w:rsid w:val="001053A2"/>
    <w:rsid w:val="00105F9F"/>
    <w:rsid w:val="001061F2"/>
    <w:rsid w:val="00106DA0"/>
    <w:rsid w:val="00106EC5"/>
    <w:rsid w:val="001070AA"/>
    <w:rsid w:val="0010774E"/>
    <w:rsid w:val="00110179"/>
    <w:rsid w:val="001106E6"/>
    <w:rsid w:val="001110C6"/>
    <w:rsid w:val="00111738"/>
    <w:rsid w:val="00111BF5"/>
    <w:rsid w:val="00111CF7"/>
    <w:rsid w:val="00112115"/>
    <w:rsid w:val="001121F3"/>
    <w:rsid w:val="00112CCC"/>
    <w:rsid w:val="001134D3"/>
    <w:rsid w:val="0011355B"/>
    <w:rsid w:val="00114BBE"/>
    <w:rsid w:val="00116872"/>
    <w:rsid w:val="00117EF2"/>
    <w:rsid w:val="00120A9F"/>
    <w:rsid w:val="001214D4"/>
    <w:rsid w:val="00121A04"/>
    <w:rsid w:val="001221B6"/>
    <w:rsid w:val="00122F69"/>
    <w:rsid w:val="00124226"/>
    <w:rsid w:val="0012486D"/>
    <w:rsid w:val="001250B3"/>
    <w:rsid w:val="001251C8"/>
    <w:rsid w:val="00125908"/>
    <w:rsid w:val="00126DA4"/>
    <w:rsid w:val="001273B5"/>
    <w:rsid w:val="00127755"/>
    <w:rsid w:val="00130594"/>
    <w:rsid w:val="00130BC1"/>
    <w:rsid w:val="00130C42"/>
    <w:rsid w:val="00130C47"/>
    <w:rsid w:val="00131299"/>
    <w:rsid w:val="0013171C"/>
    <w:rsid w:val="00131DAB"/>
    <w:rsid w:val="00131DF4"/>
    <w:rsid w:val="0013385F"/>
    <w:rsid w:val="00134D49"/>
    <w:rsid w:val="00135CB5"/>
    <w:rsid w:val="00135E9E"/>
    <w:rsid w:val="00136A8A"/>
    <w:rsid w:val="00137D8D"/>
    <w:rsid w:val="00140849"/>
    <w:rsid w:val="00140924"/>
    <w:rsid w:val="00140A0A"/>
    <w:rsid w:val="00141425"/>
    <w:rsid w:val="00141456"/>
    <w:rsid w:val="00142066"/>
    <w:rsid w:val="001421C7"/>
    <w:rsid w:val="00142202"/>
    <w:rsid w:val="0014245C"/>
    <w:rsid w:val="00142538"/>
    <w:rsid w:val="0014254A"/>
    <w:rsid w:val="00142563"/>
    <w:rsid w:val="001425C0"/>
    <w:rsid w:val="00142FEE"/>
    <w:rsid w:val="001432FF"/>
    <w:rsid w:val="00144956"/>
    <w:rsid w:val="00144D12"/>
    <w:rsid w:val="00144D87"/>
    <w:rsid w:val="001456EE"/>
    <w:rsid w:val="00145F6D"/>
    <w:rsid w:val="001464ED"/>
    <w:rsid w:val="00146AF8"/>
    <w:rsid w:val="00146BD7"/>
    <w:rsid w:val="00146DDB"/>
    <w:rsid w:val="00146E53"/>
    <w:rsid w:val="00150068"/>
    <w:rsid w:val="001502F5"/>
    <w:rsid w:val="00150A4E"/>
    <w:rsid w:val="00150F63"/>
    <w:rsid w:val="00153157"/>
    <w:rsid w:val="0015344C"/>
    <w:rsid w:val="001538A4"/>
    <w:rsid w:val="00153CEE"/>
    <w:rsid w:val="00154B94"/>
    <w:rsid w:val="00154C5A"/>
    <w:rsid w:val="001555D7"/>
    <w:rsid w:val="00155F6D"/>
    <w:rsid w:val="00155F6F"/>
    <w:rsid w:val="00156A1A"/>
    <w:rsid w:val="00156DB3"/>
    <w:rsid w:val="00157193"/>
    <w:rsid w:val="001573F9"/>
    <w:rsid w:val="0015750E"/>
    <w:rsid w:val="00157560"/>
    <w:rsid w:val="001605DE"/>
    <w:rsid w:val="00160F8F"/>
    <w:rsid w:val="00161C62"/>
    <w:rsid w:val="00161C9D"/>
    <w:rsid w:val="00161D41"/>
    <w:rsid w:val="00162F93"/>
    <w:rsid w:val="00163241"/>
    <w:rsid w:val="00164225"/>
    <w:rsid w:val="0016427F"/>
    <w:rsid w:val="00165CDA"/>
    <w:rsid w:val="0016697A"/>
    <w:rsid w:val="00167588"/>
    <w:rsid w:val="00167FC4"/>
    <w:rsid w:val="001711F0"/>
    <w:rsid w:val="001715AA"/>
    <w:rsid w:val="00171F55"/>
    <w:rsid w:val="0017209C"/>
    <w:rsid w:val="00172CB7"/>
    <w:rsid w:val="00172F10"/>
    <w:rsid w:val="00173344"/>
    <w:rsid w:val="00173394"/>
    <w:rsid w:val="00173648"/>
    <w:rsid w:val="00175119"/>
    <w:rsid w:val="00175528"/>
    <w:rsid w:val="001757E5"/>
    <w:rsid w:val="00175C44"/>
    <w:rsid w:val="00176899"/>
    <w:rsid w:val="00176D07"/>
    <w:rsid w:val="00177559"/>
    <w:rsid w:val="00177CD7"/>
    <w:rsid w:val="0018056E"/>
    <w:rsid w:val="0018175E"/>
    <w:rsid w:val="00183903"/>
    <w:rsid w:val="00183E20"/>
    <w:rsid w:val="00184D44"/>
    <w:rsid w:val="00184F44"/>
    <w:rsid w:val="00185AA3"/>
    <w:rsid w:val="00186027"/>
    <w:rsid w:val="001861C3"/>
    <w:rsid w:val="001862B8"/>
    <w:rsid w:val="00187C07"/>
    <w:rsid w:val="001900D7"/>
    <w:rsid w:val="001912AE"/>
    <w:rsid w:val="00191FD3"/>
    <w:rsid w:val="00192268"/>
    <w:rsid w:val="0019259A"/>
    <w:rsid w:val="00192FFB"/>
    <w:rsid w:val="0019363C"/>
    <w:rsid w:val="00193DF8"/>
    <w:rsid w:val="00194A66"/>
    <w:rsid w:val="00194B39"/>
    <w:rsid w:val="00195164"/>
    <w:rsid w:val="00195E81"/>
    <w:rsid w:val="001967D8"/>
    <w:rsid w:val="0019738E"/>
    <w:rsid w:val="001975A3"/>
    <w:rsid w:val="00197A50"/>
    <w:rsid w:val="00197DB8"/>
    <w:rsid w:val="001A030D"/>
    <w:rsid w:val="001A052B"/>
    <w:rsid w:val="001A09AB"/>
    <w:rsid w:val="001A0FF1"/>
    <w:rsid w:val="001A14EA"/>
    <w:rsid w:val="001A1FBB"/>
    <w:rsid w:val="001A244E"/>
    <w:rsid w:val="001A25B0"/>
    <w:rsid w:val="001A37B9"/>
    <w:rsid w:val="001A3992"/>
    <w:rsid w:val="001A3E2D"/>
    <w:rsid w:val="001A44E0"/>
    <w:rsid w:val="001A4FA5"/>
    <w:rsid w:val="001A592D"/>
    <w:rsid w:val="001A6321"/>
    <w:rsid w:val="001A67EE"/>
    <w:rsid w:val="001A6A3B"/>
    <w:rsid w:val="001A6F32"/>
    <w:rsid w:val="001A72D6"/>
    <w:rsid w:val="001A774B"/>
    <w:rsid w:val="001A7FE2"/>
    <w:rsid w:val="001B00B5"/>
    <w:rsid w:val="001B00F7"/>
    <w:rsid w:val="001B0626"/>
    <w:rsid w:val="001B0C6C"/>
    <w:rsid w:val="001B1330"/>
    <w:rsid w:val="001B16D9"/>
    <w:rsid w:val="001B1E4F"/>
    <w:rsid w:val="001B2708"/>
    <w:rsid w:val="001B28F8"/>
    <w:rsid w:val="001B2A95"/>
    <w:rsid w:val="001B2BB9"/>
    <w:rsid w:val="001B3001"/>
    <w:rsid w:val="001B35D5"/>
    <w:rsid w:val="001B3873"/>
    <w:rsid w:val="001B4BAC"/>
    <w:rsid w:val="001B5FB6"/>
    <w:rsid w:val="001B6C8C"/>
    <w:rsid w:val="001B6EC3"/>
    <w:rsid w:val="001B7116"/>
    <w:rsid w:val="001B7474"/>
    <w:rsid w:val="001B7764"/>
    <w:rsid w:val="001B7A6C"/>
    <w:rsid w:val="001C1E1A"/>
    <w:rsid w:val="001C227D"/>
    <w:rsid w:val="001C2568"/>
    <w:rsid w:val="001C2785"/>
    <w:rsid w:val="001C319F"/>
    <w:rsid w:val="001C4139"/>
    <w:rsid w:val="001C4279"/>
    <w:rsid w:val="001C44F7"/>
    <w:rsid w:val="001C5548"/>
    <w:rsid w:val="001C56C4"/>
    <w:rsid w:val="001C67F5"/>
    <w:rsid w:val="001D14B9"/>
    <w:rsid w:val="001D1750"/>
    <w:rsid w:val="001D18C0"/>
    <w:rsid w:val="001D1B79"/>
    <w:rsid w:val="001D1C03"/>
    <w:rsid w:val="001D1C14"/>
    <w:rsid w:val="001D25F5"/>
    <w:rsid w:val="001D336B"/>
    <w:rsid w:val="001D3B68"/>
    <w:rsid w:val="001D4138"/>
    <w:rsid w:val="001D4B18"/>
    <w:rsid w:val="001D628D"/>
    <w:rsid w:val="001D7771"/>
    <w:rsid w:val="001D7A4B"/>
    <w:rsid w:val="001D7EEE"/>
    <w:rsid w:val="001E0477"/>
    <w:rsid w:val="001E1960"/>
    <w:rsid w:val="001E22CA"/>
    <w:rsid w:val="001E238F"/>
    <w:rsid w:val="001E2917"/>
    <w:rsid w:val="001E2A1F"/>
    <w:rsid w:val="001E2AC7"/>
    <w:rsid w:val="001E32EB"/>
    <w:rsid w:val="001E3322"/>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0D6E"/>
    <w:rsid w:val="001F1154"/>
    <w:rsid w:val="001F13A1"/>
    <w:rsid w:val="001F218D"/>
    <w:rsid w:val="001F2262"/>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195F"/>
    <w:rsid w:val="00201B57"/>
    <w:rsid w:val="0020265E"/>
    <w:rsid w:val="00202D5C"/>
    <w:rsid w:val="002030CF"/>
    <w:rsid w:val="002032B2"/>
    <w:rsid w:val="00203A16"/>
    <w:rsid w:val="00203ECF"/>
    <w:rsid w:val="002041F1"/>
    <w:rsid w:val="00204404"/>
    <w:rsid w:val="00204ACF"/>
    <w:rsid w:val="00205AD4"/>
    <w:rsid w:val="00205FDF"/>
    <w:rsid w:val="002063D7"/>
    <w:rsid w:val="00206522"/>
    <w:rsid w:val="00206547"/>
    <w:rsid w:val="0020763D"/>
    <w:rsid w:val="00207A5B"/>
    <w:rsid w:val="002105D7"/>
    <w:rsid w:val="00210A42"/>
    <w:rsid w:val="00211BC8"/>
    <w:rsid w:val="00211D8E"/>
    <w:rsid w:val="0021264F"/>
    <w:rsid w:val="00212C42"/>
    <w:rsid w:val="0021307E"/>
    <w:rsid w:val="002135F1"/>
    <w:rsid w:val="00213889"/>
    <w:rsid w:val="00213B98"/>
    <w:rsid w:val="00214431"/>
    <w:rsid w:val="0021496E"/>
    <w:rsid w:val="002149E7"/>
    <w:rsid w:val="00215043"/>
    <w:rsid w:val="0021549E"/>
    <w:rsid w:val="00215655"/>
    <w:rsid w:val="00215C93"/>
    <w:rsid w:val="00216149"/>
    <w:rsid w:val="00216A95"/>
    <w:rsid w:val="00216B34"/>
    <w:rsid w:val="00216F07"/>
    <w:rsid w:val="0021701D"/>
    <w:rsid w:val="0021718C"/>
    <w:rsid w:val="00217BE6"/>
    <w:rsid w:val="00217ED3"/>
    <w:rsid w:val="00220452"/>
    <w:rsid w:val="00220B0C"/>
    <w:rsid w:val="00220BD4"/>
    <w:rsid w:val="00220CA2"/>
    <w:rsid w:val="00220EB7"/>
    <w:rsid w:val="0022136D"/>
    <w:rsid w:val="00221985"/>
    <w:rsid w:val="002220BB"/>
    <w:rsid w:val="00222D02"/>
    <w:rsid w:val="00222EA6"/>
    <w:rsid w:val="00222F72"/>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1EB6"/>
    <w:rsid w:val="00232C96"/>
    <w:rsid w:val="00233830"/>
    <w:rsid w:val="00233C14"/>
    <w:rsid w:val="00233C4E"/>
    <w:rsid w:val="0023453F"/>
    <w:rsid w:val="00234605"/>
    <w:rsid w:val="00234912"/>
    <w:rsid w:val="00234B6D"/>
    <w:rsid w:val="00234E7F"/>
    <w:rsid w:val="00234E8C"/>
    <w:rsid w:val="002356D4"/>
    <w:rsid w:val="002359CB"/>
    <w:rsid w:val="00235CC1"/>
    <w:rsid w:val="0023607B"/>
    <w:rsid w:val="00236310"/>
    <w:rsid w:val="00236651"/>
    <w:rsid w:val="00241187"/>
    <w:rsid w:val="002411C2"/>
    <w:rsid w:val="002412AD"/>
    <w:rsid w:val="00241C1F"/>
    <w:rsid w:val="002422F3"/>
    <w:rsid w:val="00242C69"/>
    <w:rsid w:val="00242E86"/>
    <w:rsid w:val="00243F66"/>
    <w:rsid w:val="002446BD"/>
    <w:rsid w:val="00244976"/>
    <w:rsid w:val="0024499A"/>
    <w:rsid w:val="00244CE9"/>
    <w:rsid w:val="002458B2"/>
    <w:rsid w:val="00245C83"/>
    <w:rsid w:val="002460C7"/>
    <w:rsid w:val="00246EED"/>
    <w:rsid w:val="002479D8"/>
    <w:rsid w:val="00247AE4"/>
    <w:rsid w:val="00250468"/>
    <w:rsid w:val="00250C04"/>
    <w:rsid w:val="00250C5B"/>
    <w:rsid w:val="00250CCE"/>
    <w:rsid w:val="00251205"/>
    <w:rsid w:val="0025172B"/>
    <w:rsid w:val="00251AF4"/>
    <w:rsid w:val="00251BB1"/>
    <w:rsid w:val="002526CA"/>
    <w:rsid w:val="00252D8E"/>
    <w:rsid w:val="00252DEF"/>
    <w:rsid w:val="00253172"/>
    <w:rsid w:val="00253575"/>
    <w:rsid w:val="00253581"/>
    <w:rsid w:val="002537A9"/>
    <w:rsid w:val="00253FEF"/>
    <w:rsid w:val="0025542C"/>
    <w:rsid w:val="002575AD"/>
    <w:rsid w:val="00257718"/>
    <w:rsid w:val="00261149"/>
    <w:rsid w:val="00261CC7"/>
    <w:rsid w:val="00261CE6"/>
    <w:rsid w:val="002621B5"/>
    <w:rsid w:val="002622D6"/>
    <w:rsid w:val="00262A4C"/>
    <w:rsid w:val="00263142"/>
    <w:rsid w:val="002639BF"/>
    <w:rsid w:val="0026521F"/>
    <w:rsid w:val="00265364"/>
    <w:rsid w:val="002654AF"/>
    <w:rsid w:val="00265B8E"/>
    <w:rsid w:val="002660A9"/>
    <w:rsid w:val="0026636B"/>
    <w:rsid w:val="00266650"/>
    <w:rsid w:val="00266CCE"/>
    <w:rsid w:val="00267043"/>
    <w:rsid w:val="00267ED8"/>
    <w:rsid w:val="002706E3"/>
    <w:rsid w:val="00270888"/>
    <w:rsid w:val="00270C0F"/>
    <w:rsid w:val="00270E8F"/>
    <w:rsid w:val="00271063"/>
    <w:rsid w:val="00271C57"/>
    <w:rsid w:val="0027285C"/>
    <w:rsid w:val="00273319"/>
    <w:rsid w:val="002733ED"/>
    <w:rsid w:val="00273555"/>
    <w:rsid w:val="00274065"/>
    <w:rsid w:val="0027493D"/>
    <w:rsid w:val="00274C15"/>
    <w:rsid w:val="00274ECC"/>
    <w:rsid w:val="00275359"/>
    <w:rsid w:val="00275390"/>
    <w:rsid w:val="002753F9"/>
    <w:rsid w:val="0027542E"/>
    <w:rsid w:val="002755B2"/>
    <w:rsid w:val="00275BF8"/>
    <w:rsid w:val="00275D12"/>
    <w:rsid w:val="00275FE8"/>
    <w:rsid w:val="0027604A"/>
    <w:rsid w:val="00276D23"/>
    <w:rsid w:val="002772F6"/>
    <w:rsid w:val="00277C14"/>
    <w:rsid w:val="00277F85"/>
    <w:rsid w:val="00280589"/>
    <w:rsid w:val="0028061A"/>
    <w:rsid w:val="00280C0C"/>
    <w:rsid w:val="002811B2"/>
    <w:rsid w:val="002813D6"/>
    <w:rsid w:val="002823CD"/>
    <w:rsid w:val="00282568"/>
    <w:rsid w:val="002827D0"/>
    <w:rsid w:val="00282C6C"/>
    <w:rsid w:val="00282C98"/>
    <w:rsid w:val="00282E85"/>
    <w:rsid w:val="00283A85"/>
    <w:rsid w:val="0028453C"/>
    <w:rsid w:val="002846A8"/>
    <w:rsid w:val="00284707"/>
    <w:rsid w:val="00284C20"/>
    <w:rsid w:val="0028502F"/>
    <w:rsid w:val="00285A56"/>
    <w:rsid w:val="00286173"/>
    <w:rsid w:val="00286397"/>
    <w:rsid w:val="002866BD"/>
    <w:rsid w:val="00286805"/>
    <w:rsid w:val="00286E18"/>
    <w:rsid w:val="00286EDF"/>
    <w:rsid w:val="00287BA1"/>
    <w:rsid w:val="00290329"/>
    <w:rsid w:val="0029172E"/>
    <w:rsid w:val="00291838"/>
    <w:rsid w:val="002923DB"/>
    <w:rsid w:val="00292BD3"/>
    <w:rsid w:val="00292D58"/>
    <w:rsid w:val="00292E4A"/>
    <w:rsid w:val="00292F1B"/>
    <w:rsid w:val="0029397A"/>
    <w:rsid w:val="00294110"/>
    <w:rsid w:val="002944D1"/>
    <w:rsid w:val="00294E37"/>
    <w:rsid w:val="0029501F"/>
    <w:rsid w:val="0029550B"/>
    <w:rsid w:val="00295522"/>
    <w:rsid w:val="00296259"/>
    <w:rsid w:val="00296472"/>
    <w:rsid w:val="00296627"/>
    <w:rsid w:val="00296EBC"/>
    <w:rsid w:val="002971A0"/>
    <w:rsid w:val="00297B9D"/>
    <w:rsid w:val="002A0740"/>
    <w:rsid w:val="002A246F"/>
    <w:rsid w:val="002A2497"/>
    <w:rsid w:val="002A312E"/>
    <w:rsid w:val="002A45F5"/>
    <w:rsid w:val="002A47DA"/>
    <w:rsid w:val="002A49B1"/>
    <w:rsid w:val="002A6239"/>
    <w:rsid w:val="002A6D27"/>
    <w:rsid w:val="002A7EDA"/>
    <w:rsid w:val="002B0388"/>
    <w:rsid w:val="002B05A7"/>
    <w:rsid w:val="002B0D14"/>
    <w:rsid w:val="002B197C"/>
    <w:rsid w:val="002B1F9F"/>
    <w:rsid w:val="002B24DC"/>
    <w:rsid w:val="002B31FC"/>
    <w:rsid w:val="002B34B2"/>
    <w:rsid w:val="002B4CB7"/>
    <w:rsid w:val="002B5097"/>
    <w:rsid w:val="002B5399"/>
    <w:rsid w:val="002B6AF2"/>
    <w:rsid w:val="002B6F66"/>
    <w:rsid w:val="002B6F8F"/>
    <w:rsid w:val="002B711A"/>
    <w:rsid w:val="002B72B3"/>
    <w:rsid w:val="002B7F31"/>
    <w:rsid w:val="002C01B6"/>
    <w:rsid w:val="002C01C2"/>
    <w:rsid w:val="002C0558"/>
    <w:rsid w:val="002C10DB"/>
    <w:rsid w:val="002C1BF4"/>
    <w:rsid w:val="002C20BD"/>
    <w:rsid w:val="002C341F"/>
    <w:rsid w:val="002C38AE"/>
    <w:rsid w:val="002C38B9"/>
    <w:rsid w:val="002C42B7"/>
    <w:rsid w:val="002C45D8"/>
    <w:rsid w:val="002C4DDD"/>
    <w:rsid w:val="002C5C13"/>
    <w:rsid w:val="002C5DE1"/>
    <w:rsid w:val="002C5EBE"/>
    <w:rsid w:val="002C600F"/>
    <w:rsid w:val="002C6038"/>
    <w:rsid w:val="002C77B7"/>
    <w:rsid w:val="002C7A7D"/>
    <w:rsid w:val="002D0FF0"/>
    <w:rsid w:val="002D1E2C"/>
    <w:rsid w:val="002D2C83"/>
    <w:rsid w:val="002D35EE"/>
    <w:rsid w:val="002D3624"/>
    <w:rsid w:val="002D379A"/>
    <w:rsid w:val="002D37E8"/>
    <w:rsid w:val="002D3F83"/>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771"/>
    <w:rsid w:val="002E2C75"/>
    <w:rsid w:val="002E375A"/>
    <w:rsid w:val="002E3911"/>
    <w:rsid w:val="002E3C1B"/>
    <w:rsid w:val="002E3C6E"/>
    <w:rsid w:val="002E3F87"/>
    <w:rsid w:val="002E4480"/>
    <w:rsid w:val="002E4C63"/>
    <w:rsid w:val="002E51FD"/>
    <w:rsid w:val="002E5248"/>
    <w:rsid w:val="002E55B3"/>
    <w:rsid w:val="002E5614"/>
    <w:rsid w:val="002E7083"/>
    <w:rsid w:val="002E71C2"/>
    <w:rsid w:val="002E72E7"/>
    <w:rsid w:val="002E7A1E"/>
    <w:rsid w:val="002F0253"/>
    <w:rsid w:val="002F032D"/>
    <w:rsid w:val="002F0969"/>
    <w:rsid w:val="002F1281"/>
    <w:rsid w:val="002F1349"/>
    <w:rsid w:val="002F194B"/>
    <w:rsid w:val="002F1DE6"/>
    <w:rsid w:val="002F2F00"/>
    <w:rsid w:val="002F3459"/>
    <w:rsid w:val="002F3678"/>
    <w:rsid w:val="002F37DC"/>
    <w:rsid w:val="002F3D7E"/>
    <w:rsid w:val="002F3F09"/>
    <w:rsid w:val="002F449C"/>
    <w:rsid w:val="002F4917"/>
    <w:rsid w:val="002F5686"/>
    <w:rsid w:val="002F5CF6"/>
    <w:rsid w:val="002F5E12"/>
    <w:rsid w:val="002F6AF5"/>
    <w:rsid w:val="002F71C4"/>
    <w:rsid w:val="002F7598"/>
    <w:rsid w:val="002F787B"/>
    <w:rsid w:val="002F7B80"/>
    <w:rsid w:val="003003B0"/>
    <w:rsid w:val="00302B4C"/>
    <w:rsid w:val="00302D1E"/>
    <w:rsid w:val="00302FB1"/>
    <w:rsid w:val="003030DF"/>
    <w:rsid w:val="00304023"/>
    <w:rsid w:val="003049B1"/>
    <w:rsid w:val="00304FA9"/>
    <w:rsid w:val="0030580E"/>
    <w:rsid w:val="0030622F"/>
    <w:rsid w:val="0030637D"/>
    <w:rsid w:val="00306E5B"/>
    <w:rsid w:val="0030786C"/>
    <w:rsid w:val="00310108"/>
    <w:rsid w:val="00310796"/>
    <w:rsid w:val="00310CDA"/>
    <w:rsid w:val="00310E33"/>
    <w:rsid w:val="003111C8"/>
    <w:rsid w:val="003118A6"/>
    <w:rsid w:val="00311A26"/>
    <w:rsid w:val="003120B5"/>
    <w:rsid w:val="0031313D"/>
    <w:rsid w:val="003132A8"/>
    <w:rsid w:val="003134E9"/>
    <w:rsid w:val="003137B4"/>
    <w:rsid w:val="00313F90"/>
    <w:rsid w:val="003143AA"/>
    <w:rsid w:val="003158DE"/>
    <w:rsid w:val="00316B20"/>
    <w:rsid w:val="003176AE"/>
    <w:rsid w:val="003206A0"/>
    <w:rsid w:val="00320FDF"/>
    <w:rsid w:val="0032189A"/>
    <w:rsid w:val="003225AD"/>
    <w:rsid w:val="00322914"/>
    <w:rsid w:val="00322A3E"/>
    <w:rsid w:val="003230BD"/>
    <w:rsid w:val="0032385F"/>
    <w:rsid w:val="003242EC"/>
    <w:rsid w:val="00324EB9"/>
    <w:rsid w:val="00324F29"/>
    <w:rsid w:val="0032527B"/>
    <w:rsid w:val="003259C2"/>
    <w:rsid w:val="00326181"/>
    <w:rsid w:val="00326D62"/>
    <w:rsid w:val="0032716A"/>
    <w:rsid w:val="003302F9"/>
    <w:rsid w:val="0033104F"/>
    <w:rsid w:val="00331164"/>
    <w:rsid w:val="00331B7C"/>
    <w:rsid w:val="00331EE4"/>
    <w:rsid w:val="0033379C"/>
    <w:rsid w:val="00334E1B"/>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1FF"/>
    <w:rsid w:val="003432BD"/>
    <w:rsid w:val="00343389"/>
    <w:rsid w:val="00343C1C"/>
    <w:rsid w:val="0034475B"/>
    <w:rsid w:val="003452F0"/>
    <w:rsid w:val="00345585"/>
    <w:rsid w:val="003467FE"/>
    <w:rsid w:val="0034739C"/>
    <w:rsid w:val="00347774"/>
    <w:rsid w:val="00347E31"/>
    <w:rsid w:val="00350266"/>
    <w:rsid w:val="00351105"/>
    <w:rsid w:val="00351D88"/>
    <w:rsid w:val="00352E0B"/>
    <w:rsid w:val="00354116"/>
    <w:rsid w:val="003545DC"/>
    <w:rsid w:val="003552BF"/>
    <w:rsid w:val="00355BEA"/>
    <w:rsid w:val="003560A2"/>
    <w:rsid w:val="003568B6"/>
    <w:rsid w:val="00356F76"/>
    <w:rsid w:val="0036039F"/>
    <w:rsid w:val="003604C5"/>
    <w:rsid w:val="003606F5"/>
    <w:rsid w:val="00360916"/>
    <w:rsid w:val="0036262E"/>
    <w:rsid w:val="00362EE8"/>
    <w:rsid w:val="00363051"/>
    <w:rsid w:val="00363479"/>
    <w:rsid w:val="00363935"/>
    <w:rsid w:val="00363F51"/>
    <w:rsid w:val="00364219"/>
    <w:rsid w:val="00364503"/>
    <w:rsid w:val="0036455A"/>
    <w:rsid w:val="00364606"/>
    <w:rsid w:val="00364CD9"/>
    <w:rsid w:val="00365835"/>
    <w:rsid w:val="00366497"/>
    <w:rsid w:val="003664E7"/>
    <w:rsid w:val="0036662B"/>
    <w:rsid w:val="00366793"/>
    <w:rsid w:val="00366EE7"/>
    <w:rsid w:val="00367334"/>
    <w:rsid w:val="003678AB"/>
    <w:rsid w:val="00370010"/>
    <w:rsid w:val="00370F7D"/>
    <w:rsid w:val="00371C01"/>
    <w:rsid w:val="00372AAE"/>
    <w:rsid w:val="00372D93"/>
    <w:rsid w:val="00373871"/>
    <w:rsid w:val="00373A04"/>
    <w:rsid w:val="00373A13"/>
    <w:rsid w:val="00374702"/>
    <w:rsid w:val="00374E72"/>
    <w:rsid w:val="00374F27"/>
    <w:rsid w:val="0037516C"/>
    <w:rsid w:val="0037521C"/>
    <w:rsid w:val="003752E2"/>
    <w:rsid w:val="003755A2"/>
    <w:rsid w:val="0037643B"/>
    <w:rsid w:val="00377924"/>
    <w:rsid w:val="0038025C"/>
    <w:rsid w:val="00380962"/>
    <w:rsid w:val="003809E6"/>
    <w:rsid w:val="00380BFF"/>
    <w:rsid w:val="00380E32"/>
    <w:rsid w:val="00382075"/>
    <w:rsid w:val="003820EB"/>
    <w:rsid w:val="0038269E"/>
    <w:rsid w:val="003826FC"/>
    <w:rsid w:val="00382FAF"/>
    <w:rsid w:val="00384810"/>
    <w:rsid w:val="00384A50"/>
    <w:rsid w:val="00384BE4"/>
    <w:rsid w:val="003853B6"/>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2F7"/>
    <w:rsid w:val="003946D2"/>
    <w:rsid w:val="00394C15"/>
    <w:rsid w:val="00394F19"/>
    <w:rsid w:val="00394F43"/>
    <w:rsid w:val="00395019"/>
    <w:rsid w:val="0039503F"/>
    <w:rsid w:val="00395EC9"/>
    <w:rsid w:val="003960DA"/>
    <w:rsid w:val="00396280"/>
    <w:rsid w:val="00396BF5"/>
    <w:rsid w:val="00397013"/>
    <w:rsid w:val="00397152"/>
    <w:rsid w:val="0039748C"/>
    <w:rsid w:val="003975A2"/>
    <w:rsid w:val="0039789F"/>
    <w:rsid w:val="003978D4"/>
    <w:rsid w:val="003A17B8"/>
    <w:rsid w:val="003A1C8D"/>
    <w:rsid w:val="003A282C"/>
    <w:rsid w:val="003A3EA0"/>
    <w:rsid w:val="003A4486"/>
    <w:rsid w:val="003A5126"/>
    <w:rsid w:val="003A5AFB"/>
    <w:rsid w:val="003A614A"/>
    <w:rsid w:val="003A6C92"/>
    <w:rsid w:val="003A6FFF"/>
    <w:rsid w:val="003A7C3A"/>
    <w:rsid w:val="003A7D9D"/>
    <w:rsid w:val="003B03ED"/>
    <w:rsid w:val="003B064B"/>
    <w:rsid w:val="003B0A05"/>
    <w:rsid w:val="003B1169"/>
    <w:rsid w:val="003B1384"/>
    <w:rsid w:val="003B14D5"/>
    <w:rsid w:val="003B156F"/>
    <w:rsid w:val="003B1707"/>
    <w:rsid w:val="003B2044"/>
    <w:rsid w:val="003B20D8"/>
    <w:rsid w:val="003B2624"/>
    <w:rsid w:val="003B2E38"/>
    <w:rsid w:val="003B2F05"/>
    <w:rsid w:val="003B3CB3"/>
    <w:rsid w:val="003B44C0"/>
    <w:rsid w:val="003B5B2F"/>
    <w:rsid w:val="003B5B46"/>
    <w:rsid w:val="003B5DE8"/>
    <w:rsid w:val="003B63BD"/>
    <w:rsid w:val="003B6AFC"/>
    <w:rsid w:val="003B714F"/>
    <w:rsid w:val="003B76A5"/>
    <w:rsid w:val="003C0611"/>
    <w:rsid w:val="003C08B0"/>
    <w:rsid w:val="003C0C0A"/>
    <w:rsid w:val="003C1CA3"/>
    <w:rsid w:val="003C1DED"/>
    <w:rsid w:val="003C2C7B"/>
    <w:rsid w:val="003C3669"/>
    <w:rsid w:val="003C3807"/>
    <w:rsid w:val="003C3950"/>
    <w:rsid w:val="003C3E79"/>
    <w:rsid w:val="003C4D95"/>
    <w:rsid w:val="003C50D1"/>
    <w:rsid w:val="003C5561"/>
    <w:rsid w:val="003C57B8"/>
    <w:rsid w:val="003C59AD"/>
    <w:rsid w:val="003C6246"/>
    <w:rsid w:val="003C6918"/>
    <w:rsid w:val="003C7705"/>
    <w:rsid w:val="003D009B"/>
    <w:rsid w:val="003D07D5"/>
    <w:rsid w:val="003D08C7"/>
    <w:rsid w:val="003D21E0"/>
    <w:rsid w:val="003D2A05"/>
    <w:rsid w:val="003D3803"/>
    <w:rsid w:val="003D38FA"/>
    <w:rsid w:val="003D391D"/>
    <w:rsid w:val="003D4543"/>
    <w:rsid w:val="003D506B"/>
    <w:rsid w:val="003D51F4"/>
    <w:rsid w:val="003D53B9"/>
    <w:rsid w:val="003D5948"/>
    <w:rsid w:val="003D5A11"/>
    <w:rsid w:val="003D63C2"/>
    <w:rsid w:val="003D6453"/>
    <w:rsid w:val="003D66AF"/>
    <w:rsid w:val="003D675F"/>
    <w:rsid w:val="003D7FA6"/>
    <w:rsid w:val="003E036F"/>
    <w:rsid w:val="003E0919"/>
    <w:rsid w:val="003E0C4A"/>
    <w:rsid w:val="003E17CA"/>
    <w:rsid w:val="003E1898"/>
    <w:rsid w:val="003E190B"/>
    <w:rsid w:val="003E1DD2"/>
    <w:rsid w:val="003E23B0"/>
    <w:rsid w:val="003E2C17"/>
    <w:rsid w:val="003E32B2"/>
    <w:rsid w:val="003E3AD6"/>
    <w:rsid w:val="003E3F98"/>
    <w:rsid w:val="003E490D"/>
    <w:rsid w:val="003E5718"/>
    <w:rsid w:val="003E6E22"/>
    <w:rsid w:val="003E6FE7"/>
    <w:rsid w:val="003E77C5"/>
    <w:rsid w:val="003E78DB"/>
    <w:rsid w:val="003F0316"/>
    <w:rsid w:val="003F0FD0"/>
    <w:rsid w:val="003F1154"/>
    <w:rsid w:val="003F11BF"/>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B58"/>
    <w:rsid w:val="00403E70"/>
    <w:rsid w:val="00404DA2"/>
    <w:rsid w:val="0040523B"/>
    <w:rsid w:val="004054A3"/>
    <w:rsid w:val="004054C9"/>
    <w:rsid w:val="0040664D"/>
    <w:rsid w:val="004068FA"/>
    <w:rsid w:val="004072B9"/>
    <w:rsid w:val="0040752E"/>
    <w:rsid w:val="00410758"/>
    <w:rsid w:val="0041103C"/>
    <w:rsid w:val="004110D2"/>
    <w:rsid w:val="004119BD"/>
    <w:rsid w:val="00411A46"/>
    <w:rsid w:val="00411B27"/>
    <w:rsid w:val="00412269"/>
    <w:rsid w:val="00412526"/>
    <w:rsid w:val="00412E96"/>
    <w:rsid w:val="0041350F"/>
    <w:rsid w:val="00413B62"/>
    <w:rsid w:val="004144B4"/>
    <w:rsid w:val="0041450C"/>
    <w:rsid w:val="004157C5"/>
    <w:rsid w:val="0041766C"/>
    <w:rsid w:val="0041777A"/>
    <w:rsid w:val="00417800"/>
    <w:rsid w:val="00417916"/>
    <w:rsid w:val="00417E33"/>
    <w:rsid w:val="004200F7"/>
    <w:rsid w:val="004208EC"/>
    <w:rsid w:val="00420D75"/>
    <w:rsid w:val="00421356"/>
    <w:rsid w:val="00421542"/>
    <w:rsid w:val="0042170A"/>
    <w:rsid w:val="00421E34"/>
    <w:rsid w:val="004227A3"/>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623"/>
    <w:rsid w:val="0043576A"/>
    <w:rsid w:val="004371D8"/>
    <w:rsid w:val="004406BC"/>
    <w:rsid w:val="004410B2"/>
    <w:rsid w:val="00441E34"/>
    <w:rsid w:val="004423FA"/>
    <w:rsid w:val="00442B7D"/>
    <w:rsid w:val="004435E2"/>
    <w:rsid w:val="00444939"/>
    <w:rsid w:val="00444E7E"/>
    <w:rsid w:val="00446A61"/>
    <w:rsid w:val="00446BC2"/>
    <w:rsid w:val="00447317"/>
    <w:rsid w:val="00447436"/>
    <w:rsid w:val="00451D52"/>
    <w:rsid w:val="00451DC2"/>
    <w:rsid w:val="004524C8"/>
    <w:rsid w:val="00452B50"/>
    <w:rsid w:val="00452FA4"/>
    <w:rsid w:val="0045306C"/>
    <w:rsid w:val="00453508"/>
    <w:rsid w:val="00454A01"/>
    <w:rsid w:val="00454A24"/>
    <w:rsid w:val="00454B5B"/>
    <w:rsid w:val="00454F41"/>
    <w:rsid w:val="00454F53"/>
    <w:rsid w:val="004569F0"/>
    <w:rsid w:val="00456B60"/>
    <w:rsid w:val="0045754D"/>
    <w:rsid w:val="00460075"/>
    <w:rsid w:val="0046131B"/>
    <w:rsid w:val="004613C4"/>
    <w:rsid w:val="004615E9"/>
    <w:rsid w:val="00462400"/>
    <w:rsid w:val="004633C5"/>
    <w:rsid w:val="004635C3"/>
    <w:rsid w:val="004636E9"/>
    <w:rsid w:val="0046390E"/>
    <w:rsid w:val="00463BBF"/>
    <w:rsid w:val="00464860"/>
    <w:rsid w:val="00464A90"/>
    <w:rsid w:val="00465089"/>
    <w:rsid w:val="00465135"/>
    <w:rsid w:val="00465584"/>
    <w:rsid w:val="004655D7"/>
    <w:rsid w:val="004656DF"/>
    <w:rsid w:val="0046646E"/>
    <w:rsid w:val="0046682C"/>
    <w:rsid w:val="00467CFD"/>
    <w:rsid w:val="004705C0"/>
    <w:rsid w:val="0047090B"/>
    <w:rsid w:val="00470B24"/>
    <w:rsid w:val="00471DB1"/>
    <w:rsid w:val="004726A2"/>
    <w:rsid w:val="00472C58"/>
    <w:rsid w:val="0047369A"/>
    <w:rsid w:val="0047380D"/>
    <w:rsid w:val="00473B03"/>
    <w:rsid w:val="00474D10"/>
    <w:rsid w:val="00474FAB"/>
    <w:rsid w:val="004753B6"/>
    <w:rsid w:val="0047564D"/>
    <w:rsid w:val="00475721"/>
    <w:rsid w:val="00475E43"/>
    <w:rsid w:val="00476338"/>
    <w:rsid w:val="004767EE"/>
    <w:rsid w:val="00476B1B"/>
    <w:rsid w:val="00477865"/>
    <w:rsid w:val="004779D4"/>
    <w:rsid w:val="00477A5F"/>
    <w:rsid w:val="00477B23"/>
    <w:rsid w:val="00480034"/>
    <w:rsid w:val="0048104F"/>
    <w:rsid w:val="004818F9"/>
    <w:rsid w:val="00481F34"/>
    <w:rsid w:val="00481FE5"/>
    <w:rsid w:val="00482CAA"/>
    <w:rsid w:val="00482ECC"/>
    <w:rsid w:val="00484643"/>
    <w:rsid w:val="00484F59"/>
    <w:rsid w:val="004850D6"/>
    <w:rsid w:val="004853AB"/>
    <w:rsid w:val="00485910"/>
    <w:rsid w:val="0048662C"/>
    <w:rsid w:val="004868B5"/>
    <w:rsid w:val="00486ACF"/>
    <w:rsid w:val="00486CE0"/>
    <w:rsid w:val="00486DEB"/>
    <w:rsid w:val="00487461"/>
    <w:rsid w:val="00487CF1"/>
    <w:rsid w:val="00490991"/>
    <w:rsid w:val="004909E0"/>
    <w:rsid w:val="00490ACF"/>
    <w:rsid w:val="00490C69"/>
    <w:rsid w:val="00491992"/>
    <w:rsid w:val="00491C2B"/>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4C4"/>
    <w:rsid w:val="004A3C87"/>
    <w:rsid w:val="004A47C8"/>
    <w:rsid w:val="004A4817"/>
    <w:rsid w:val="004A562B"/>
    <w:rsid w:val="004A60EB"/>
    <w:rsid w:val="004A655F"/>
    <w:rsid w:val="004A6603"/>
    <w:rsid w:val="004A7B0F"/>
    <w:rsid w:val="004A7D5C"/>
    <w:rsid w:val="004A7E65"/>
    <w:rsid w:val="004A7E99"/>
    <w:rsid w:val="004B044C"/>
    <w:rsid w:val="004B1440"/>
    <w:rsid w:val="004B18BB"/>
    <w:rsid w:val="004B1DE1"/>
    <w:rsid w:val="004B253E"/>
    <w:rsid w:val="004B3131"/>
    <w:rsid w:val="004B338E"/>
    <w:rsid w:val="004B55FC"/>
    <w:rsid w:val="004B67F0"/>
    <w:rsid w:val="004B7396"/>
    <w:rsid w:val="004B773B"/>
    <w:rsid w:val="004B7810"/>
    <w:rsid w:val="004B7BB4"/>
    <w:rsid w:val="004C08D5"/>
    <w:rsid w:val="004C0AB7"/>
    <w:rsid w:val="004C1035"/>
    <w:rsid w:val="004C18D2"/>
    <w:rsid w:val="004C19F0"/>
    <w:rsid w:val="004C2583"/>
    <w:rsid w:val="004C36F7"/>
    <w:rsid w:val="004C38AE"/>
    <w:rsid w:val="004C4BBA"/>
    <w:rsid w:val="004C54F1"/>
    <w:rsid w:val="004C583D"/>
    <w:rsid w:val="004C5DB0"/>
    <w:rsid w:val="004C6034"/>
    <w:rsid w:val="004C78FC"/>
    <w:rsid w:val="004D011F"/>
    <w:rsid w:val="004D0A72"/>
    <w:rsid w:val="004D17BB"/>
    <w:rsid w:val="004D2685"/>
    <w:rsid w:val="004D2E7D"/>
    <w:rsid w:val="004D3139"/>
    <w:rsid w:val="004D3853"/>
    <w:rsid w:val="004D3DCD"/>
    <w:rsid w:val="004D3EE1"/>
    <w:rsid w:val="004D46DE"/>
    <w:rsid w:val="004D4A9B"/>
    <w:rsid w:val="004D58C4"/>
    <w:rsid w:val="004D5BB0"/>
    <w:rsid w:val="004D5BD6"/>
    <w:rsid w:val="004D5CC7"/>
    <w:rsid w:val="004D69F6"/>
    <w:rsid w:val="004D6F9B"/>
    <w:rsid w:val="004D7476"/>
    <w:rsid w:val="004D750F"/>
    <w:rsid w:val="004E057F"/>
    <w:rsid w:val="004E0961"/>
    <w:rsid w:val="004E1201"/>
    <w:rsid w:val="004E18EC"/>
    <w:rsid w:val="004E23D5"/>
    <w:rsid w:val="004E2A9D"/>
    <w:rsid w:val="004E3C84"/>
    <w:rsid w:val="004E62E9"/>
    <w:rsid w:val="004E69DB"/>
    <w:rsid w:val="004F0227"/>
    <w:rsid w:val="004F0DA0"/>
    <w:rsid w:val="004F153C"/>
    <w:rsid w:val="004F191A"/>
    <w:rsid w:val="004F2380"/>
    <w:rsid w:val="004F295C"/>
    <w:rsid w:val="004F2D81"/>
    <w:rsid w:val="004F2E44"/>
    <w:rsid w:val="004F2F97"/>
    <w:rsid w:val="004F33C1"/>
    <w:rsid w:val="004F378A"/>
    <w:rsid w:val="004F3D86"/>
    <w:rsid w:val="004F4209"/>
    <w:rsid w:val="004F4B19"/>
    <w:rsid w:val="004F4F98"/>
    <w:rsid w:val="004F51B3"/>
    <w:rsid w:val="004F5277"/>
    <w:rsid w:val="004F5818"/>
    <w:rsid w:val="004F60AE"/>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3F0E"/>
    <w:rsid w:val="00504603"/>
    <w:rsid w:val="00504983"/>
    <w:rsid w:val="00504B56"/>
    <w:rsid w:val="00504C6E"/>
    <w:rsid w:val="00505F59"/>
    <w:rsid w:val="0050629F"/>
    <w:rsid w:val="00506A6F"/>
    <w:rsid w:val="00506AE6"/>
    <w:rsid w:val="0050770F"/>
    <w:rsid w:val="00507EA3"/>
    <w:rsid w:val="0051070B"/>
    <w:rsid w:val="005115C9"/>
    <w:rsid w:val="0051246D"/>
    <w:rsid w:val="00513269"/>
    <w:rsid w:val="00513D6A"/>
    <w:rsid w:val="0051411A"/>
    <w:rsid w:val="005163AB"/>
    <w:rsid w:val="00516AE3"/>
    <w:rsid w:val="00516D02"/>
    <w:rsid w:val="0051793B"/>
    <w:rsid w:val="0051799E"/>
    <w:rsid w:val="00517C61"/>
    <w:rsid w:val="005204A5"/>
    <w:rsid w:val="0052060E"/>
    <w:rsid w:val="00520A35"/>
    <w:rsid w:val="0052117A"/>
    <w:rsid w:val="00521988"/>
    <w:rsid w:val="00521C54"/>
    <w:rsid w:val="00522A57"/>
    <w:rsid w:val="00522D90"/>
    <w:rsid w:val="00522DFE"/>
    <w:rsid w:val="0052307E"/>
    <w:rsid w:val="005231CE"/>
    <w:rsid w:val="00523349"/>
    <w:rsid w:val="00523689"/>
    <w:rsid w:val="00523D3A"/>
    <w:rsid w:val="0052454A"/>
    <w:rsid w:val="00524BB1"/>
    <w:rsid w:val="00524DC6"/>
    <w:rsid w:val="00524FB6"/>
    <w:rsid w:val="005252ED"/>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678"/>
    <w:rsid w:val="005379C9"/>
    <w:rsid w:val="00537CEF"/>
    <w:rsid w:val="0054099C"/>
    <w:rsid w:val="00540F93"/>
    <w:rsid w:val="0054171E"/>
    <w:rsid w:val="005418DB"/>
    <w:rsid w:val="00541C57"/>
    <w:rsid w:val="00542904"/>
    <w:rsid w:val="00542A72"/>
    <w:rsid w:val="0054336B"/>
    <w:rsid w:val="00543532"/>
    <w:rsid w:val="00543D4E"/>
    <w:rsid w:val="00545C12"/>
    <w:rsid w:val="00546798"/>
    <w:rsid w:val="00547241"/>
    <w:rsid w:val="00547CFA"/>
    <w:rsid w:val="00550B2B"/>
    <w:rsid w:val="005515B3"/>
    <w:rsid w:val="00551D89"/>
    <w:rsid w:val="00552733"/>
    <w:rsid w:val="00552971"/>
    <w:rsid w:val="0055339B"/>
    <w:rsid w:val="005536D5"/>
    <w:rsid w:val="00553A03"/>
    <w:rsid w:val="005541BB"/>
    <w:rsid w:val="005542AF"/>
    <w:rsid w:val="0055542D"/>
    <w:rsid w:val="00555AEC"/>
    <w:rsid w:val="00556292"/>
    <w:rsid w:val="00556F42"/>
    <w:rsid w:val="00556FD6"/>
    <w:rsid w:val="005572D1"/>
    <w:rsid w:val="0055791D"/>
    <w:rsid w:val="00557C6F"/>
    <w:rsid w:val="00560743"/>
    <w:rsid w:val="005611A0"/>
    <w:rsid w:val="00561978"/>
    <w:rsid w:val="00561ACD"/>
    <w:rsid w:val="00561C80"/>
    <w:rsid w:val="005624C9"/>
    <w:rsid w:val="005629F7"/>
    <w:rsid w:val="00562CAE"/>
    <w:rsid w:val="0056367A"/>
    <w:rsid w:val="00563887"/>
    <w:rsid w:val="005645E3"/>
    <w:rsid w:val="00564915"/>
    <w:rsid w:val="00564F79"/>
    <w:rsid w:val="005652D9"/>
    <w:rsid w:val="00565420"/>
    <w:rsid w:val="005654FC"/>
    <w:rsid w:val="005656C2"/>
    <w:rsid w:val="005658C7"/>
    <w:rsid w:val="005667C5"/>
    <w:rsid w:val="005670E7"/>
    <w:rsid w:val="005675BE"/>
    <w:rsid w:val="00567A15"/>
    <w:rsid w:val="00567E3E"/>
    <w:rsid w:val="00570CF2"/>
    <w:rsid w:val="00571C87"/>
    <w:rsid w:val="00571DB2"/>
    <w:rsid w:val="00572575"/>
    <w:rsid w:val="00572E41"/>
    <w:rsid w:val="0057378B"/>
    <w:rsid w:val="00573E4E"/>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929"/>
    <w:rsid w:val="00585466"/>
    <w:rsid w:val="005857BE"/>
    <w:rsid w:val="0058585E"/>
    <w:rsid w:val="00585B5B"/>
    <w:rsid w:val="00586D15"/>
    <w:rsid w:val="0058709D"/>
    <w:rsid w:val="00587391"/>
    <w:rsid w:val="005874E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3588"/>
    <w:rsid w:val="00595051"/>
    <w:rsid w:val="005950A4"/>
    <w:rsid w:val="005952EC"/>
    <w:rsid w:val="005955CE"/>
    <w:rsid w:val="00595C2C"/>
    <w:rsid w:val="00595D67"/>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658"/>
    <w:rsid w:val="005A6BCC"/>
    <w:rsid w:val="005A6F84"/>
    <w:rsid w:val="005A7CC6"/>
    <w:rsid w:val="005B002B"/>
    <w:rsid w:val="005B0101"/>
    <w:rsid w:val="005B0297"/>
    <w:rsid w:val="005B04EE"/>
    <w:rsid w:val="005B06A7"/>
    <w:rsid w:val="005B0B0B"/>
    <w:rsid w:val="005B0DA5"/>
    <w:rsid w:val="005B22F2"/>
    <w:rsid w:val="005B29D5"/>
    <w:rsid w:val="005B2EA2"/>
    <w:rsid w:val="005B3348"/>
    <w:rsid w:val="005B4013"/>
    <w:rsid w:val="005B4123"/>
    <w:rsid w:val="005B45F1"/>
    <w:rsid w:val="005B460D"/>
    <w:rsid w:val="005B460E"/>
    <w:rsid w:val="005B56E3"/>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81C"/>
    <w:rsid w:val="005C7251"/>
    <w:rsid w:val="005C7893"/>
    <w:rsid w:val="005D0201"/>
    <w:rsid w:val="005D198D"/>
    <w:rsid w:val="005D1B4A"/>
    <w:rsid w:val="005D2466"/>
    <w:rsid w:val="005D2554"/>
    <w:rsid w:val="005D2D5C"/>
    <w:rsid w:val="005D2D64"/>
    <w:rsid w:val="005D34F2"/>
    <w:rsid w:val="005D44EA"/>
    <w:rsid w:val="005D46BF"/>
    <w:rsid w:val="005D4A61"/>
    <w:rsid w:val="005D51B3"/>
    <w:rsid w:val="005D5661"/>
    <w:rsid w:val="005D59A9"/>
    <w:rsid w:val="005D5B02"/>
    <w:rsid w:val="005D5F8C"/>
    <w:rsid w:val="005D6E8C"/>
    <w:rsid w:val="005D783C"/>
    <w:rsid w:val="005D78BD"/>
    <w:rsid w:val="005E03F2"/>
    <w:rsid w:val="005E07BE"/>
    <w:rsid w:val="005E21C1"/>
    <w:rsid w:val="005E25C6"/>
    <w:rsid w:val="005E2B30"/>
    <w:rsid w:val="005E2C44"/>
    <w:rsid w:val="005E2E00"/>
    <w:rsid w:val="005E2E97"/>
    <w:rsid w:val="005E3827"/>
    <w:rsid w:val="005E3BCE"/>
    <w:rsid w:val="005E3DEB"/>
    <w:rsid w:val="005E4072"/>
    <w:rsid w:val="005E4B01"/>
    <w:rsid w:val="005E4DBE"/>
    <w:rsid w:val="005E554F"/>
    <w:rsid w:val="005E5731"/>
    <w:rsid w:val="005E5A56"/>
    <w:rsid w:val="005E5B28"/>
    <w:rsid w:val="005E6252"/>
    <w:rsid w:val="005E70F4"/>
    <w:rsid w:val="005E7565"/>
    <w:rsid w:val="005F0898"/>
    <w:rsid w:val="005F0B6C"/>
    <w:rsid w:val="005F1A24"/>
    <w:rsid w:val="005F1CB7"/>
    <w:rsid w:val="005F22FF"/>
    <w:rsid w:val="005F288D"/>
    <w:rsid w:val="005F3241"/>
    <w:rsid w:val="005F366B"/>
    <w:rsid w:val="005F3C17"/>
    <w:rsid w:val="005F3E39"/>
    <w:rsid w:val="005F49D8"/>
    <w:rsid w:val="005F4A0C"/>
    <w:rsid w:val="005F51E7"/>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C27"/>
    <w:rsid w:val="00607945"/>
    <w:rsid w:val="00607D32"/>
    <w:rsid w:val="00610151"/>
    <w:rsid w:val="00610174"/>
    <w:rsid w:val="0061073A"/>
    <w:rsid w:val="00610A72"/>
    <w:rsid w:val="00610CCB"/>
    <w:rsid w:val="00610E88"/>
    <w:rsid w:val="006111C4"/>
    <w:rsid w:val="006118D8"/>
    <w:rsid w:val="00611ACF"/>
    <w:rsid w:val="00611B71"/>
    <w:rsid w:val="00611C19"/>
    <w:rsid w:val="00612485"/>
    <w:rsid w:val="0061278A"/>
    <w:rsid w:val="0061330A"/>
    <w:rsid w:val="0061378A"/>
    <w:rsid w:val="006138DE"/>
    <w:rsid w:val="00613F3C"/>
    <w:rsid w:val="00613F60"/>
    <w:rsid w:val="0061418E"/>
    <w:rsid w:val="006144FA"/>
    <w:rsid w:val="00616076"/>
    <w:rsid w:val="006162DB"/>
    <w:rsid w:val="006174BE"/>
    <w:rsid w:val="006202B1"/>
    <w:rsid w:val="00620459"/>
    <w:rsid w:val="00620F1E"/>
    <w:rsid w:val="006210F8"/>
    <w:rsid w:val="0062141C"/>
    <w:rsid w:val="006214DC"/>
    <w:rsid w:val="006215FC"/>
    <w:rsid w:val="00622951"/>
    <w:rsid w:val="006232F8"/>
    <w:rsid w:val="006233F5"/>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198"/>
    <w:rsid w:val="00634F71"/>
    <w:rsid w:val="006350C7"/>
    <w:rsid w:val="00635288"/>
    <w:rsid w:val="00635CA2"/>
    <w:rsid w:val="00635E19"/>
    <w:rsid w:val="006363F7"/>
    <w:rsid w:val="00636659"/>
    <w:rsid w:val="00636953"/>
    <w:rsid w:val="00636BD7"/>
    <w:rsid w:val="00636CDD"/>
    <w:rsid w:val="00636D53"/>
    <w:rsid w:val="0064005F"/>
    <w:rsid w:val="00640217"/>
    <w:rsid w:val="00640994"/>
    <w:rsid w:val="00640D55"/>
    <w:rsid w:val="00641D44"/>
    <w:rsid w:val="00641F08"/>
    <w:rsid w:val="00642D01"/>
    <w:rsid w:val="00642EB1"/>
    <w:rsid w:val="00643212"/>
    <w:rsid w:val="006435BF"/>
    <w:rsid w:val="0064452A"/>
    <w:rsid w:val="00644636"/>
    <w:rsid w:val="00644959"/>
    <w:rsid w:val="00644A34"/>
    <w:rsid w:val="00644F40"/>
    <w:rsid w:val="0064513E"/>
    <w:rsid w:val="006463B2"/>
    <w:rsid w:val="00647302"/>
    <w:rsid w:val="00647DE4"/>
    <w:rsid w:val="00650802"/>
    <w:rsid w:val="006514D8"/>
    <w:rsid w:val="00651933"/>
    <w:rsid w:val="006522D8"/>
    <w:rsid w:val="006534F3"/>
    <w:rsid w:val="0065373D"/>
    <w:rsid w:val="00653807"/>
    <w:rsid w:val="00653FE3"/>
    <w:rsid w:val="00654F30"/>
    <w:rsid w:val="00655ABB"/>
    <w:rsid w:val="00655D95"/>
    <w:rsid w:val="00657315"/>
    <w:rsid w:val="006574EF"/>
    <w:rsid w:val="0065777C"/>
    <w:rsid w:val="00657A1C"/>
    <w:rsid w:val="00657D82"/>
    <w:rsid w:val="006605CB"/>
    <w:rsid w:val="00660AE9"/>
    <w:rsid w:val="00661084"/>
    <w:rsid w:val="00661700"/>
    <w:rsid w:val="00661721"/>
    <w:rsid w:val="00662440"/>
    <w:rsid w:val="00662A2E"/>
    <w:rsid w:val="00662ED6"/>
    <w:rsid w:val="0066329A"/>
    <w:rsid w:val="00663ADF"/>
    <w:rsid w:val="006642D9"/>
    <w:rsid w:val="006647D0"/>
    <w:rsid w:val="00664BCF"/>
    <w:rsid w:val="00666381"/>
    <w:rsid w:val="0066651E"/>
    <w:rsid w:val="00666DC3"/>
    <w:rsid w:val="006679D9"/>
    <w:rsid w:val="00670368"/>
    <w:rsid w:val="00670442"/>
    <w:rsid w:val="00670DE7"/>
    <w:rsid w:val="00670EDD"/>
    <w:rsid w:val="00671B57"/>
    <w:rsid w:val="006725E5"/>
    <w:rsid w:val="00672976"/>
    <w:rsid w:val="0067482C"/>
    <w:rsid w:val="006753B2"/>
    <w:rsid w:val="006759D4"/>
    <w:rsid w:val="00675EEA"/>
    <w:rsid w:val="00676B84"/>
    <w:rsid w:val="006772CF"/>
    <w:rsid w:val="0067731B"/>
    <w:rsid w:val="00677457"/>
    <w:rsid w:val="00677AC0"/>
    <w:rsid w:val="00680B1E"/>
    <w:rsid w:val="00680B5C"/>
    <w:rsid w:val="00681A7C"/>
    <w:rsid w:val="006823D5"/>
    <w:rsid w:val="00684096"/>
    <w:rsid w:val="0068436F"/>
    <w:rsid w:val="00684866"/>
    <w:rsid w:val="00684F33"/>
    <w:rsid w:val="00685318"/>
    <w:rsid w:val="0068531F"/>
    <w:rsid w:val="006859A7"/>
    <w:rsid w:val="00685A03"/>
    <w:rsid w:val="00685EF9"/>
    <w:rsid w:val="00686208"/>
    <w:rsid w:val="00687324"/>
    <w:rsid w:val="0068797A"/>
    <w:rsid w:val="00687FD6"/>
    <w:rsid w:val="00690277"/>
    <w:rsid w:val="0069085C"/>
    <w:rsid w:val="0069212D"/>
    <w:rsid w:val="00692DD0"/>
    <w:rsid w:val="00692F59"/>
    <w:rsid w:val="00692F69"/>
    <w:rsid w:val="00692FF1"/>
    <w:rsid w:val="0069388E"/>
    <w:rsid w:val="006939BD"/>
    <w:rsid w:val="00693C62"/>
    <w:rsid w:val="006940E2"/>
    <w:rsid w:val="0069451C"/>
    <w:rsid w:val="00694581"/>
    <w:rsid w:val="00697A91"/>
    <w:rsid w:val="00697ECD"/>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34F"/>
    <w:rsid w:val="006B0749"/>
    <w:rsid w:val="006B0778"/>
    <w:rsid w:val="006B0F4F"/>
    <w:rsid w:val="006B19ED"/>
    <w:rsid w:val="006B2981"/>
    <w:rsid w:val="006B3F88"/>
    <w:rsid w:val="006B4317"/>
    <w:rsid w:val="006B439F"/>
    <w:rsid w:val="006B4594"/>
    <w:rsid w:val="006B4826"/>
    <w:rsid w:val="006B6063"/>
    <w:rsid w:val="006B722D"/>
    <w:rsid w:val="006B792B"/>
    <w:rsid w:val="006C05FB"/>
    <w:rsid w:val="006C0CDF"/>
    <w:rsid w:val="006C16C2"/>
    <w:rsid w:val="006C180E"/>
    <w:rsid w:val="006C2278"/>
    <w:rsid w:val="006C295D"/>
    <w:rsid w:val="006C2CEA"/>
    <w:rsid w:val="006C2F1F"/>
    <w:rsid w:val="006C2F84"/>
    <w:rsid w:val="006C34DC"/>
    <w:rsid w:val="006C386B"/>
    <w:rsid w:val="006C396C"/>
    <w:rsid w:val="006C3EDD"/>
    <w:rsid w:val="006C58B0"/>
    <w:rsid w:val="006C5BC4"/>
    <w:rsid w:val="006C689B"/>
    <w:rsid w:val="006C6B47"/>
    <w:rsid w:val="006C7705"/>
    <w:rsid w:val="006C7A05"/>
    <w:rsid w:val="006C7B09"/>
    <w:rsid w:val="006D01A3"/>
    <w:rsid w:val="006D030F"/>
    <w:rsid w:val="006D051E"/>
    <w:rsid w:val="006D07B0"/>
    <w:rsid w:val="006D087C"/>
    <w:rsid w:val="006D0BDE"/>
    <w:rsid w:val="006D168A"/>
    <w:rsid w:val="006D1707"/>
    <w:rsid w:val="006D1AAA"/>
    <w:rsid w:val="006D2E78"/>
    <w:rsid w:val="006D33C5"/>
    <w:rsid w:val="006D3600"/>
    <w:rsid w:val="006D39E8"/>
    <w:rsid w:val="006D42CA"/>
    <w:rsid w:val="006D49A2"/>
    <w:rsid w:val="006D5873"/>
    <w:rsid w:val="006D6D5F"/>
    <w:rsid w:val="006D7581"/>
    <w:rsid w:val="006D7776"/>
    <w:rsid w:val="006E0DA4"/>
    <w:rsid w:val="006E16BE"/>
    <w:rsid w:val="006E1D94"/>
    <w:rsid w:val="006E21FB"/>
    <w:rsid w:val="006E2738"/>
    <w:rsid w:val="006E2D4E"/>
    <w:rsid w:val="006E2D77"/>
    <w:rsid w:val="006E2ECE"/>
    <w:rsid w:val="006E2FF2"/>
    <w:rsid w:val="006E3061"/>
    <w:rsid w:val="006E55FA"/>
    <w:rsid w:val="006E5B4B"/>
    <w:rsid w:val="006E5E37"/>
    <w:rsid w:val="006E617F"/>
    <w:rsid w:val="006E6435"/>
    <w:rsid w:val="006E6599"/>
    <w:rsid w:val="006E6BE0"/>
    <w:rsid w:val="006E7095"/>
    <w:rsid w:val="006F0D69"/>
    <w:rsid w:val="006F1027"/>
    <w:rsid w:val="006F108F"/>
    <w:rsid w:val="006F1967"/>
    <w:rsid w:val="006F2312"/>
    <w:rsid w:val="006F23FA"/>
    <w:rsid w:val="006F298B"/>
    <w:rsid w:val="006F2CDF"/>
    <w:rsid w:val="006F301D"/>
    <w:rsid w:val="006F5FBC"/>
    <w:rsid w:val="006F6957"/>
    <w:rsid w:val="006F6FE3"/>
    <w:rsid w:val="006F72CB"/>
    <w:rsid w:val="006F7480"/>
    <w:rsid w:val="006F76CA"/>
    <w:rsid w:val="006F77C5"/>
    <w:rsid w:val="0070003C"/>
    <w:rsid w:val="00701BF5"/>
    <w:rsid w:val="00702293"/>
    <w:rsid w:val="007034F3"/>
    <w:rsid w:val="007039DE"/>
    <w:rsid w:val="00703A87"/>
    <w:rsid w:val="00703DB1"/>
    <w:rsid w:val="007041C8"/>
    <w:rsid w:val="00704D2A"/>
    <w:rsid w:val="00705077"/>
    <w:rsid w:val="00705523"/>
    <w:rsid w:val="00705E1C"/>
    <w:rsid w:val="00705F57"/>
    <w:rsid w:val="007065DB"/>
    <w:rsid w:val="0070678D"/>
    <w:rsid w:val="00706B66"/>
    <w:rsid w:val="0070743B"/>
    <w:rsid w:val="007075B1"/>
    <w:rsid w:val="0070781F"/>
    <w:rsid w:val="00707E49"/>
    <w:rsid w:val="00707F4B"/>
    <w:rsid w:val="007104DF"/>
    <w:rsid w:val="00710AF0"/>
    <w:rsid w:val="007119D5"/>
    <w:rsid w:val="007119FC"/>
    <w:rsid w:val="00711BE5"/>
    <w:rsid w:val="00711C06"/>
    <w:rsid w:val="007122D9"/>
    <w:rsid w:val="007126FB"/>
    <w:rsid w:val="00712C22"/>
    <w:rsid w:val="00713025"/>
    <w:rsid w:val="0071328C"/>
    <w:rsid w:val="007135E7"/>
    <w:rsid w:val="00713901"/>
    <w:rsid w:val="00713A04"/>
    <w:rsid w:val="00714095"/>
    <w:rsid w:val="00714484"/>
    <w:rsid w:val="00714A76"/>
    <w:rsid w:val="00715682"/>
    <w:rsid w:val="00716482"/>
    <w:rsid w:val="00716E80"/>
    <w:rsid w:val="00716E97"/>
    <w:rsid w:val="00717112"/>
    <w:rsid w:val="0071765C"/>
    <w:rsid w:val="00717A4C"/>
    <w:rsid w:val="00717F78"/>
    <w:rsid w:val="0072058C"/>
    <w:rsid w:val="00720A84"/>
    <w:rsid w:val="00720C8A"/>
    <w:rsid w:val="00721B24"/>
    <w:rsid w:val="00722D00"/>
    <w:rsid w:val="00722D3E"/>
    <w:rsid w:val="0072352E"/>
    <w:rsid w:val="00723B33"/>
    <w:rsid w:val="00724307"/>
    <w:rsid w:val="007245E0"/>
    <w:rsid w:val="007249C3"/>
    <w:rsid w:val="00724B6B"/>
    <w:rsid w:val="007252B0"/>
    <w:rsid w:val="007260CB"/>
    <w:rsid w:val="007265C7"/>
    <w:rsid w:val="0072675F"/>
    <w:rsid w:val="0072694A"/>
    <w:rsid w:val="00726E72"/>
    <w:rsid w:val="00726FEB"/>
    <w:rsid w:val="00727269"/>
    <w:rsid w:val="007276DD"/>
    <w:rsid w:val="00727965"/>
    <w:rsid w:val="007279E7"/>
    <w:rsid w:val="00727E92"/>
    <w:rsid w:val="00727EF6"/>
    <w:rsid w:val="00731B43"/>
    <w:rsid w:val="00732474"/>
    <w:rsid w:val="00732E3A"/>
    <w:rsid w:val="0073340C"/>
    <w:rsid w:val="0073358E"/>
    <w:rsid w:val="00734013"/>
    <w:rsid w:val="007345F4"/>
    <w:rsid w:val="00734733"/>
    <w:rsid w:val="007348CC"/>
    <w:rsid w:val="00735197"/>
    <w:rsid w:val="0073519E"/>
    <w:rsid w:val="00735271"/>
    <w:rsid w:val="0073588A"/>
    <w:rsid w:val="00735A77"/>
    <w:rsid w:val="00735F59"/>
    <w:rsid w:val="00735FBD"/>
    <w:rsid w:val="0073608B"/>
    <w:rsid w:val="00736607"/>
    <w:rsid w:val="0073720D"/>
    <w:rsid w:val="00737232"/>
    <w:rsid w:val="00737355"/>
    <w:rsid w:val="0073763E"/>
    <w:rsid w:val="0073787B"/>
    <w:rsid w:val="00737A47"/>
    <w:rsid w:val="0074002C"/>
    <w:rsid w:val="007409C8"/>
    <w:rsid w:val="00740A89"/>
    <w:rsid w:val="00741425"/>
    <w:rsid w:val="00741C03"/>
    <w:rsid w:val="007421B2"/>
    <w:rsid w:val="0074258F"/>
    <w:rsid w:val="00742BF6"/>
    <w:rsid w:val="00743674"/>
    <w:rsid w:val="00743681"/>
    <w:rsid w:val="00743984"/>
    <w:rsid w:val="007441CF"/>
    <w:rsid w:val="00744BF8"/>
    <w:rsid w:val="0074532C"/>
    <w:rsid w:val="00745D78"/>
    <w:rsid w:val="0074620D"/>
    <w:rsid w:val="00746C25"/>
    <w:rsid w:val="00750949"/>
    <w:rsid w:val="007515FC"/>
    <w:rsid w:val="00751ECA"/>
    <w:rsid w:val="00753406"/>
    <w:rsid w:val="00753622"/>
    <w:rsid w:val="00753EB3"/>
    <w:rsid w:val="00753EF0"/>
    <w:rsid w:val="0075461B"/>
    <w:rsid w:val="00755B30"/>
    <w:rsid w:val="00756033"/>
    <w:rsid w:val="0075613A"/>
    <w:rsid w:val="00757057"/>
    <w:rsid w:val="0075711F"/>
    <w:rsid w:val="007577A6"/>
    <w:rsid w:val="00760095"/>
    <w:rsid w:val="0076020D"/>
    <w:rsid w:val="007608F9"/>
    <w:rsid w:val="00760901"/>
    <w:rsid w:val="007610AC"/>
    <w:rsid w:val="00761846"/>
    <w:rsid w:val="00761CC9"/>
    <w:rsid w:val="007622F5"/>
    <w:rsid w:val="0076231D"/>
    <w:rsid w:val="00762374"/>
    <w:rsid w:val="0076274E"/>
    <w:rsid w:val="007630C2"/>
    <w:rsid w:val="007630E5"/>
    <w:rsid w:val="007649C9"/>
    <w:rsid w:val="007649D5"/>
    <w:rsid w:val="00765A0B"/>
    <w:rsid w:val="00765F08"/>
    <w:rsid w:val="00766C48"/>
    <w:rsid w:val="00767088"/>
    <w:rsid w:val="00767379"/>
    <w:rsid w:val="0077029E"/>
    <w:rsid w:val="00770463"/>
    <w:rsid w:val="007709E5"/>
    <w:rsid w:val="00771324"/>
    <w:rsid w:val="007740D2"/>
    <w:rsid w:val="007745C5"/>
    <w:rsid w:val="00775ACC"/>
    <w:rsid w:val="007766CD"/>
    <w:rsid w:val="0077704F"/>
    <w:rsid w:val="007772FA"/>
    <w:rsid w:val="007804A8"/>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068"/>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C9"/>
    <w:rsid w:val="007954E7"/>
    <w:rsid w:val="0079575C"/>
    <w:rsid w:val="0079677A"/>
    <w:rsid w:val="007972AC"/>
    <w:rsid w:val="00797469"/>
    <w:rsid w:val="00797CE0"/>
    <w:rsid w:val="007A017F"/>
    <w:rsid w:val="007A04B9"/>
    <w:rsid w:val="007A0AD9"/>
    <w:rsid w:val="007A0E8E"/>
    <w:rsid w:val="007A182F"/>
    <w:rsid w:val="007A1A3C"/>
    <w:rsid w:val="007A1A62"/>
    <w:rsid w:val="007A2029"/>
    <w:rsid w:val="007A205B"/>
    <w:rsid w:val="007A2327"/>
    <w:rsid w:val="007A2529"/>
    <w:rsid w:val="007A252E"/>
    <w:rsid w:val="007A432C"/>
    <w:rsid w:val="007A535B"/>
    <w:rsid w:val="007A609C"/>
    <w:rsid w:val="007A66E5"/>
    <w:rsid w:val="007A725E"/>
    <w:rsid w:val="007B093F"/>
    <w:rsid w:val="007B0E19"/>
    <w:rsid w:val="007B0F77"/>
    <w:rsid w:val="007B177D"/>
    <w:rsid w:val="007B18B8"/>
    <w:rsid w:val="007B1CB5"/>
    <w:rsid w:val="007B2308"/>
    <w:rsid w:val="007B2D13"/>
    <w:rsid w:val="007B2FFF"/>
    <w:rsid w:val="007B320C"/>
    <w:rsid w:val="007B3A67"/>
    <w:rsid w:val="007B3C2D"/>
    <w:rsid w:val="007B512A"/>
    <w:rsid w:val="007B5187"/>
    <w:rsid w:val="007B591A"/>
    <w:rsid w:val="007B5C4A"/>
    <w:rsid w:val="007B611E"/>
    <w:rsid w:val="007B6B43"/>
    <w:rsid w:val="007B7A5E"/>
    <w:rsid w:val="007B7D45"/>
    <w:rsid w:val="007B7D93"/>
    <w:rsid w:val="007C04E6"/>
    <w:rsid w:val="007C066F"/>
    <w:rsid w:val="007C069F"/>
    <w:rsid w:val="007C0BB0"/>
    <w:rsid w:val="007C0BC6"/>
    <w:rsid w:val="007C1020"/>
    <w:rsid w:val="007C111E"/>
    <w:rsid w:val="007C143D"/>
    <w:rsid w:val="007C1740"/>
    <w:rsid w:val="007C2097"/>
    <w:rsid w:val="007C2A7C"/>
    <w:rsid w:val="007C426E"/>
    <w:rsid w:val="007C4404"/>
    <w:rsid w:val="007C46AA"/>
    <w:rsid w:val="007C4DC9"/>
    <w:rsid w:val="007C4FE0"/>
    <w:rsid w:val="007C534C"/>
    <w:rsid w:val="007C53FE"/>
    <w:rsid w:val="007C54EA"/>
    <w:rsid w:val="007C592A"/>
    <w:rsid w:val="007C6427"/>
    <w:rsid w:val="007C6977"/>
    <w:rsid w:val="007C6B1E"/>
    <w:rsid w:val="007C70F8"/>
    <w:rsid w:val="007C7143"/>
    <w:rsid w:val="007C7363"/>
    <w:rsid w:val="007C7CBA"/>
    <w:rsid w:val="007D018E"/>
    <w:rsid w:val="007D03DD"/>
    <w:rsid w:val="007D050D"/>
    <w:rsid w:val="007D1985"/>
    <w:rsid w:val="007D1FBF"/>
    <w:rsid w:val="007D229F"/>
    <w:rsid w:val="007D2A11"/>
    <w:rsid w:val="007D3719"/>
    <w:rsid w:val="007D3E21"/>
    <w:rsid w:val="007D4511"/>
    <w:rsid w:val="007D45CC"/>
    <w:rsid w:val="007D4DA5"/>
    <w:rsid w:val="007D578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45A"/>
    <w:rsid w:val="007E485E"/>
    <w:rsid w:val="007E4B30"/>
    <w:rsid w:val="007E4D71"/>
    <w:rsid w:val="007E4DFA"/>
    <w:rsid w:val="007E5E44"/>
    <w:rsid w:val="007E64EC"/>
    <w:rsid w:val="007E70BB"/>
    <w:rsid w:val="007F055B"/>
    <w:rsid w:val="007F05CD"/>
    <w:rsid w:val="007F086E"/>
    <w:rsid w:val="007F12B1"/>
    <w:rsid w:val="007F13BF"/>
    <w:rsid w:val="007F14F4"/>
    <w:rsid w:val="007F1A7C"/>
    <w:rsid w:val="007F1BC1"/>
    <w:rsid w:val="007F1D34"/>
    <w:rsid w:val="007F24B7"/>
    <w:rsid w:val="007F2C5D"/>
    <w:rsid w:val="007F3BA0"/>
    <w:rsid w:val="007F3C39"/>
    <w:rsid w:val="007F41DC"/>
    <w:rsid w:val="007F4415"/>
    <w:rsid w:val="007F64F4"/>
    <w:rsid w:val="007F6939"/>
    <w:rsid w:val="007F6B7F"/>
    <w:rsid w:val="007F7D6A"/>
    <w:rsid w:val="007F7EBF"/>
    <w:rsid w:val="00800157"/>
    <w:rsid w:val="0080041B"/>
    <w:rsid w:val="0080084F"/>
    <w:rsid w:val="00800E12"/>
    <w:rsid w:val="00801DBD"/>
    <w:rsid w:val="00801F18"/>
    <w:rsid w:val="00801F57"/>
    <w:rsid w:val="008021C0"/>
    <w:rsid w:val="00802381"/>
    <w:rsid w:val="0080279C"/>
    <w:rsid w:val="00803767"/>
    <w:rsid w:val="00803779"/>
    <w:rsid w:val="008042EC"/>
    <w:rsid w:val="00804386"/>
    <w:rsid w:val="00804680"/>
    <w:rsid w:val="00805120"/>
    <w:rsid w:val="00805C69"/>
    <w:rsid w:val="00806504"/>
    <w:rsid w:val="008065C8"/>
    <w:rsid w:val="008071BE"/>
    <w:rsid w:val="00807B99"/>
    <w:rsid w:val="00810031"/>
    <w:rsid w:val="008101C9"/>
    <w:rsid w:val="00811C75"/>
    <w:rsid w:val="00811EC6"/>
    <w:rsid w:val="008135C8"/>
    <w:rsid w:val="00813D6A"/>
    <w:rsid w:val="00813E00"/>
    <w:rsid w:val="00814BD5"/>
    <w:rsid w:val="008150CA"/>
    <w:rsid w:val="0081517B"/>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3D9"/>
    <w:rsid w:val="00825A8C"/>
    <w:rsid w:val="00825EFC"/>
    <w:rsid w:val="008265E8"/>
    <w:rsid w:val="008269EA"/>
    <w:rsid w:val="00826E68"/>
    <w:rsid w:val="00827B95"/>
    <w:rsid w:val="00827BFE"/>
    <w:rsid w:val="00827E4A"/>
    <w:rsid w:val="008307C9"/>
    <w:rsid w:val="00830A2A"/>
    <w:rsid w:val="00830A62"/>
    <w:rsid w:val="00831547"/>
    <w:rsid w:val="00831885"/>
    <w:rsid w:val="00831A2D"/>
    <w:rsid w:val="00831DCB"/>
    <w:rsid w:val="00832334"/>
    <w:rsid w:val="00832B43"/>
    <w:rsid w:val="00834051"/>
    <w:rsid w:val="008340F2"/>
    <w:rsid w:val="00834708"/>
    <w:rsid w:val="0083488F"/>
    <w:rsid w:val="00834C28"/>
    <w:rsid w:val="008355E4"/>
    <w:rsid w:val="00835E45"/>
    <w:rsid w:val="00835F90"/>
    <w:rsid w:val="00835FA5"/>
    <w:rsid w:val="00836255"/>
    <w:rsid w:val="008368E1"/>
    <w:rsid w:val="00836A90"/>
    <w:rsid w:val="00836FAC"/>
    <w:rsid w:val="0083730C"/>
    <w:rsid w:val="00837A4B"/>
    <w:rsid w:val="00840378"/>
    <w:rsid w:val="0084096A"/>
    <w:rsid w:val="00842B3E"/>
    <w:rsid w:val="00842B67"/>
    <w:rsid w:val="00842E62"/>
    <w:rsid w:val="008430F3"/>
    <w:rsid w:val="0084368B"/>
    <w:rsid w:val="00843DE4"/>
    <w:rsid w:val="00844353"/>
    <w:rsid w:val="00844B7D"/>
    <w:rsid w:val="00845171"/>
    <w:rsid w:val="00846310"/>
    <w:rsid w:val="008463C6"/>
    <w:rsid w:val="00846EA1"/>
    <w:rsid w:val="008471BC"/>
    <w:rsid w:val="008471D8"/>
    <w:rsid w:val="00847589"/>
    <w:rsid w:val="00850929"/>
    <w:rsid w:val="00850994"/>
    <w:rsid w:val="0085190B"/>
    <w:rsid w:val="00851AC8"/>
    <w:rsid w:val="00851DC2"/>
    <w:rsid w:val="00851DFA"/>
    <w:rsid w:val="00851EA0"/>
    <w:rsid w:val="008531EC"/>
    <w:rsid w:val="00853F14"/>
    <w:rsid w:val="00853FE7"/>
    <w:rsid w:val="00855509"/>
    <w:rsid w:val="00856516"/>
    <w:rsid w:val="00856914"/>
    <w:rsid w:val="00857C37"/>
    <w:rsid w:val="00857D74"/>
    <w:rsid w:val="008600E8"/>
    <w:rsid w:val="008617DE"/>
    <w:rsid w:val="00861C41"/>
    <w:rsid w:val="00862633"/>
    <w:rsid w:val="008626E7"/>
    <w:rsid w:val="00863E2B"/>
    <w:rsid w:val="00864A89"/>
    <w:rsid w:val="00864B5D"/>
    <w:rsid w:val="00864C6C"/>
    <w:rsid w:val="00864CBB"/>
    <w:rsid w:val="008653D7"/>
    <w:rsid w:val="008660F4"/>
    <w:rsid w:val="00866426"/>
    <w:rsid w:val="00866789"/>
    <w:rsid w:val="00866C52"/>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0E3A"/>
    <w:rsid w:val="00881726"/>
    <w:rsid w:val="008826A4"/>
    <w:rsid w:val="008832C0"/>
    <w:rsid w:val="0088373C"/>
    <w:rsid w:val="00883960"/>
    <w:rsid w:val="008846BF"/>
    <w:rsid w:val="00884B03"/>
    <w:rsid w:val="00884B22"/>
    <w:rsid w:val="008866C3"/>
    <w:rsid w:val="00886E61"/>
    <w:rsid w:val="0088700B"/>
    <w:rsid w:val="008874DF"/>
    <w:rsid w:val="0088766D"/>
    <w:rsid w:val="00887B29"/>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12C7"/>
    <w:rsid w:val="008A1510"/>
    <w:rsid w:val="008A15D8"/>
    <w:rsid w:val="008A2393"/>
    <w:rsid w:val="008A24C7"/>
    <w:rsid w:val="008A27A5"/>
    <w:rsid w:val="008A2876"/>
    <w:rsid w:val="008A2925"/>
    <w:rsid w:val="008A2DB8"/>
    <w:rsid w:val="008A3280"/>
    <w:rsid w:val="008A3731"/>
    <w:rsid w:val="008A3A17"/>
    <w:rsid w:val="008A3DB4"/>
    <w:rsid w:val="008A4267"/>
    <w:rsid w:val="008A5758"/>
    <w:rsid w:val="008A5A2F"/>
    <w:rsid w:val="008A698F"/>
    <w:rsid w:val="008B0BDE"/>
    <w:rsid w:val="008B12BF"/>
    <w:rsid w:val="008B1F8F"/>
    <w:rsid w:val="008B230D"/>
    <w:rsid w:val="008B2D1B"/>
    <w:rsid w:val="008B3222"/>
    <w:rsid w:val="008B44E7"/>
    <w:rsid w:val="008B45BB"/>
    <w:rsid w:val="008B4FBF"/>
    <w:rsid w:val="008B5988"/>
    <w:rsid w:val="008B5B4B"/>
    <w:rsid w:val="008B64ED"/>
    <w:rsid w:val="008B650F"/>
    <w:rsid w:val="008B66D4"/>
    <w:rsid w:val="008B74D5"/>
    <w:rsid w:val="008B7542"/>
    <w:rsid w:val="008B7B57"/>
    <w:rsid w:val="008B7C5B"/>
    <w:rsid w:val="008C078E"/>
    <w:rsid w:val="008C16B1"/>
    <w:rsid w:val="008C1F54"/>
    <w:rsid w:val="008C3008"/>
    <w:rsid w:val="008C3624"/>
    <w:rsid w:val="008C3B16"/>
    <w:rsid w:val="008C3C9A"/>
    <w:rsid w:val="008C3D01"/>
    <w:rsid w:val="008C4224"/>
    <w:rsid w:val="008C4346"/>
    <w:rsid w:val="008C4876"/>
    <w:rsid w:val="008C49E5"/>
    <w:rsid w:val="008C4E21"/>
    <w:rsid w:val="008C5228"/>
    <w:rsid w:val="008C52BD"/>
    <w:rsid w:val="008C54F2"/>
    <w:rsid w:val="008C604E"/>
    <w:rsid w:val="008C6DBD"/>
    <w:rsid w:val="008C7EA9"/>
    <w:rsid w:val="008D090D"/>
    <w:rsid w:val="008D0C84"/>
    <w:rsid w:val="008D0D13"/>
    <w:rsid w:val="008D1114"/>
    <w:rsid w:val="008D12E9"/>
    <w:rsid w:val="008D158A"/>
    <w:rsid w:val="008D189E"/>
    <w:rsid w:val="008D1EDE"/>
    <w:rsid w:val="008D2451"/>
    <w:rsid w:val="008D28B9"/>
    <w:rsid w:val="008D2DD1"/>
    <w:rsid w:val="008D3788"/>
    <w:rsid w:val="008D3EBD"/>
    <w:rsid w:val="008D487B"/>
    <w:rsid w:val="008D4AE0"/>
    <w:rsid w:val="008D4C93"/>
    <w:rsid w:val="008D517B"/>
    <w:rsid w:val="008D57D9"/>
    <w:rsid w:val="008D5FDA"/>
    <w:rsid w:val="008D62E8"/>
    <w:rsid w:val="008D6389"/>
    <w:rsid w:val="008D6EBA"/>
    <w:rsid w:val="008D74AD"/>
    <w:rsid w:val="008D78EA"/>
    <w:rsid w:val="008D78FF"/>
    <w:rsid w:val="008E0148"/>
    <w:rsid w:val="008E0371"/>
    <w:rsid w:val="008E0A17"/>
    <w:rsid w:val="008E1BC8"/>
    <w:rsid w:val="008E2265"/>
    <w:rsid w:val="008E296D"/>
    <w:rsid w:val="008E38C5"/>
    <w:rsid w:val="008E3E4A"/>
    <w:rsid w:val="008E475F"/>
    <w:rsid w:val="008E477C"/>
    <w:rsid w:val="008E55D7"/>
    <w:rsid w:val="008E67E4"/>
    <w:rsid w:val="008E6EEC"/>
    <w:rsid w:val="008E722D"/>
    <w:rsid w:val="008E7AAC"/>
    <w:rsid w:val="008F0233"/>
    <w:rsid w:val="008F0466"/>
    <w:rsid w:val="008F0DF3"/>
    <w:rsid w:val="008F0F9D"/>
    <w:rsid w:val="008F187D"/>
    <w:rsid w:val="008F18B6"/>
    <w:rsid w:val="008F2C95"/>
    <w:rsid w:val="008F3185"/>
    <w:rsid w:val="008F3877"/>
    <w:rsid w:val="008F4289"/>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53"/>
    <w:rsid w:val="009011BD"/>
    <w:rsid w:val="0090122E"/>
    <w:rsid w:val="00901AA5"/>
    <w:rsid w:val="0090235D"/>
    <w:rsid w:val="009023B5"/>
    <w:rsid w:val="0090303E"/>
    <w:rsid w:val="009034E6"/>
    <w:rsid w:val="00903FA9"/>
    <w:rsid w:val="00903FEA"/>
    <w:rsid w:val="0090421A"/>
    <w:rsid w:val="00905360"/>
    <w:rsid w:val="00905612"/>
    <w:rsid w:val="00905D3F"/>
    <w:rsid w:val="00905DFC"/>
    <w:rsid w:val="00906875"/>
    <w:rsid w:val="00906C63"/>
    <w:rsid w:val="00906CE6"/>
    <w:rsid w:val="00907408"/>
    <w:rsid w:val="00907B09"/>
    <w:rsid w:val="00907E20"/>
    <w:rsid w:val="0091149F"/>
    <w:rsid w:val="00911512"/>
    <w:rsid w:val="00911C75"/>
    <w:rsid w:val="00912551"/>
    <w:rsid w:val="009129C5"/>
    <w:rsid w:val="009134E2"/>
    <w:rsid w:val="009138D3"/>
    <w:rsid w:val="00913ED2"/>
    <w:rsid w:val="00914673"/>
    <w:rsid w:val="00914934"/>
    <w:rsid w:val="00914E34"/>
    <w:rsid w:val="00914F9F"/>
    <w:rsid w:val="009152DF"/>
    <w:rsid w:val="00915494"/>
    <w:rsid w:val="0091597E"/>
    <w:rsid w:val="00916705"/>
    <w:rsid w:val="00917018"/>
    <w:rsid w:val="00917F86"/>
    <w:rsid w:val="0092057E"/>
    <w:rsid w:val="00920616"/>
    <w:rsid w:val="00920665"/>
    <w:rsid w:val="0092211C"/>
    <w:rsid w:val="00922CC5"/>
    <w:rsid w:val="00922F38"/>
    <w:rsid w:val="009241C4"/>
    <w:rsid w:val="00924747"/>
    <w:rsid w:val="00924A32"/>
    <w:rsid w:val="00924B25"/>
    <w:rsid w:val="009253FF"/>
    <w:rsid w:val="00927CAE"/>
    <w:rsid w:val="009302F1"/>
    <w:rsid w:val="009305E9"/>
    <w:rsid w:val="009313D0"/>
    <w:rsid w:val="009313FD"/>
    <w:rsid w:val="00931509"/>
    <w:rsid w:val="00931EDD"/>
    <w:rsid w:val="0093271C"/>
    <w:rsid w:val="00932F8B"/>
    <w:rsid w:val="00933091"/>
    <w:rsid w:val="00933140"/>
    <w:rsid w:val="0093370E"/>
    <w:rsid w:val="00933E40"/>
    <w:rsid w:val="00934550"/>
    <w:rsid w:val="00934C87"/>
    <w:rsid w:val="00935DCB"/>
    <w:rsid w:val="009364A6"/>
    <w:rsid w:val="00937253"/>
    <w:rsid w:val="00940228"/>
    <w:rsid w:val="0094028F"/>
    <w:rsid w:val="0094120A"/>
    <w:rsid w:val="00941428"/>
    <w:rsid w:val="00941704"/>
    <w:rsid w:val="00941D27"/>
    <w:rsid w:val="00941EB7"/>
    <w:rsid w:val="009422C0"/>
    <w:rsid w:val="00942745"/>
    <w:rsid w:val="00943A3B"/>
    <w:rsid w:val="00943E29"/>
    <w:rsid w:val="00944915"/>
    <w:rsid w:val="00944FE2"/>
    <w:rsid w:val="00945015"/>
    <w:rsid w:val="00945B8C"/>
    <w:rsid w:val="00946004"/>
    <w:rsid w:val="00946650"/>
    <w:rsid w:val="00946F6D"/>
    <w:rsid w:val="00946FF3"/>
    <w:rsid w:val="00947174"/>
    <w:rsid w:val="00947C08"/>
    <w:rsid w:val="00950BA6"/>
    <w:rsid w:val="00953268"/>
    <w:rsid w:val="009551E3"/>
    <w:rsid w:val="009552BD"/>
    <w:rsid w:val="00955380"/>
    <w:rsid w:val="00955696"/>
    <w:rsid w:val="0095570A"/>
    <w:rsid w:val="0095602D"/>
    <w:rsid w:val="0095621F"/>
    <w:rsid w:val="0095642B"/>
    <w:rsid w:val="0095682D"/>
    <w:rsid w:val="00957B6F"/>
    <w:rsid w:val="00957CB7"/>
    <w:rsid w:val="00957CD3"/>
    <w:rsid w:val="00957D4D"/>
    <w:rsid w:val="00961AE7"/>
    <w:rsid w:val="00961D51"/>
    <w:rsid w:val="00962C77"/>
    <w:rsid w:val="009639D8"/>
    <w:rsid w:val="00963AFD"/>
    <w:rsid w:val="00963EF5"/>
    <w:rsid w:val="0096412E"/>
    <w:rsid w:val="0096436D"/>
    <w:rsid w:val="00964DC5"/>
    <w:rsid w:val="00965221"/>
    <w:rsid w:val="0096581A"/>
    <w:rsid w:val="00965C04"/>
    <w:rsid w:val="00965EFF"/>
    <w:rsid w:val="009661CE"/>
    <w:rsid w:val="00966C79"/>
    <w:rsid w:val="00967478"/>
    <w:rsid w:val="00967AC9"/>
    <w:rsid w:val="00970A15"/>
    <w:rsid w:val="00971F40"/>
    <w:rsid w:val="0097220A"/>
    <w:rsid w:val="009729E8"/>
    <w:rsid w:val="00972E3C"/>
    <w:rsid w:val="00973412"/>
    <w:rsid w:val="00973BDA"/>
    <w:rsid w:val="009742E9"/>
    <w:rsid w:val="009742FD"/>
    <w:rsid w:val="00974BCE"/>
    <w:rsid w:val="00975E33"/>
    <w:rsid w:val="009765D0"/>
    <w:rsid w:val="00977282"/>
    <w:rsid w:val="009777D9"/>
    <w:rsid w:val="00977AA1"/>
    <w:rsid w:val="00977AF4"/>
    <w:rsid w:val="00977F7C"/>
    <w:rsid w:val="0098038B"/>
    <w:rsid w:val="0098040A"/>
    <w:rsid w:val="00980BD6"/>
    <w:rsid w:val="00981122"/>
    <w:rsid w:val="00981460"/>
    <w:rsid w:val="00981877"/>
    <w:rsid w:val="00982345"/>
    <w:rsid w:val="009827B6"/>
    <w:rsid w:val="0098318E"/>
    <w:rsid w:val="00983234"/>
    <w:rsid w:val="00983C79"/>
    <w:rsid w:val="00984311"/>
    <w:rsid w:val="0098498B"/>
    <w:rsid w:val="00985537"/>
    <w:rsid w:val="009857CC"/>
    <w:rsid w:val="00985C05"/>
    <w:rsid w:val="00986859"/>
    <w:rsid w:val="0098749A"/>
    <w:rsid w:val="009876D2"/>
    <w:rsid w:val="00987AB0"/>
    <w:rsid w:val="00987BCA"/>
    <w:rsid w:val="00990410"/>
    <w:rsid w:val="00990753"/>
    <w:rsid w:val="0099075A"/>
    <w:rsid w:val="009908B4"/>
    <w:rsid w:val="00990A21"/>
    <w:rsid w:val="00990C74"/>
    <w:rsid w:val="00990CB6"/>
    <w:rsid w:val="00990DE7"/>
    <w:rsid w:val="009910B0"/>
    <w:rsid w:val="00991748"/>
    <w:rsid w:val="009917B4"/>
    <w:rsid w:val="00991B88"/>
    <w:rsid w:val="00992829"/>
    <w:rsid w:val="00992EF0"/>
    <w:rsid w:val="00992F4A"/>
    <w:rsid w:val="009931B9"/>
    <w:rsid w:val="009936E6"/>
    <w:rsid w:val="009938F4"/>
    <w:rsid w:val="00993C42"/>
    <w:rsid w:val="00993C90"/>
    <w:rsid w:val="00993F1B"/>
    <w:rsid w:val="0099441F"/>
    <w:rsid w:val="0099449B"/>
    <w:rsid w:val="009947BE"/>
    <w:rsid w:val="00994F5F"/>
    <w:rsid w:val="009952BB"/>
    <w:rsid w:val="009958A2"/>
    <w:rsid w:val="00995C36"/>
    <w:rsid w:val="009967E8"/>
    <w:rsid w:val="00996AC7"/>
    <w:rsid w:val="00996FAA"/>
    <w:rsid w:val="00997091"/>
    <w:rsid w:val="00997D49"/>
    <w:rsid w:val="00997F28"/>
    <w:rsid w:val="009A0026"/>
    <w:rsid w:val="009A023C"/>
    <w:rsid w:val="009A02FB"/>
    <w:rsid w:val="009A0557"/>
    <w:rsid w:val="009A05BC"/>
    <w:rsid w:val="009A102E"/>
    <w:rsid w:val="009A172A"/>
    <w:rsid w:val="009A17AF"/>
    <w:rsid w:val="009A1B0F"/>
    <w:rsid w:val="009A1B88"/>
    <w:rsid w:val="009A30D1"/>
    <w:rsid w:val="009A32B0"/>
    <w:rsid w:val="009A3E50"/>
    <w:rsid w:val="009A6AD5"/>
    <w:rsid w:val="009A6FFA"/>
    <w:rsid w:val="009A7265"/>
    <w:rsid w:val="009A739B"/>
    <w:rsid w:val="009A7BDB"/>
    <w:rsid w:val="009A7CCE"/>
    <w:rsid w:val="009A7E47"/>
    <w:rsid w:val="009B1A6A"/>
    <w:rsid w:val="009B1DD0"/>
    <w:rsid w:val="009B29B4"/>
    <w:rsid w:val="009B2A45"/>
    <w:rsid w:val="009B2B59"/>
    <w:rsid w:val="009B3AC3"/>
    <w:rsid w:val="009B3D08"/>
    <w:rsid w:val="009B4044"/>
    <w:rsid w:val="009B430A"/>
    <w:rsid w:val="009B4AA9"/>
    <w:rsid w:val="009B4B03"/>
    <w:rsid w:val="009B4D0A"/>
    <w:rsid w:val="009B5EB0"/>
    <w:rsid w:val="009B60CA"/>
    <w:rsid w:val="009B6AA9"/>
    <w:rsid w:val="009B6ECF"/>
    <w:rsid w:val="009B71D6"/>
    <w:rsid w:val="009C0630"/>
    <w:rsid w:val="009C0819"/>
    <w:rsid w:val="009C101A"/>
    <w:rsid w:val="009C106F"/>
    <w:rsid w:val="009C11B6"/>
    <w:rsid w:val="009C129F"/>
    <w:rsid w:val="009C2047"/>
    <w:rsid w:val="009C3BA6"/>
    <w:rsid w:val="009C3D94"/>
    <w:rsid w:val="009C3E13"/>
    <w:rsid w:val="009C415C"/>
    <w:rsid w:val="009C4603"/>
    <w:rsid w:val="009C4B8E"/>
    <w:rsid w:val="009C5867"/>
    <w:rsid w:val="009C59D4"/>
    <w:rsid w:val="009C5BB7"/>
    <w:rsid w:val="009C6172"/>
    <w:rsid w:val="009C705B"/>
    <w:rsid w:val="009C73A0"/>
    <w:rsid w:val="009C753E"/>
    <w:rsid w:val="009C76B5"/>
    <w:rsid w:val="009D0959"/>
    <w:rsid w:val="009D1E16"/>
    <w:rsid w:val="009D2E15"/>
    <w:rsid w:val="009D3A23"/>
    <w:rsid w:val="009D3E26"/>
    <w:rsid w:val="009D4B94"/>
    <w:rsid w:val="009D4E60"/>
    <w:rsid w:val="009D5061"/>
    <w:rsid w:val="009D5235"/>
    <w:rsid w:val="009D5252"/>
    <w:rsid w:val="009D5A35"/>
    <w:rsid w:val="009D6701"/>
    <w:rsid w:val="009D6A02"/>
    <w:rsid w:val="009D72C5"/>
    <w:rsid w:val="009D739B"/>
    <w:rsid w:val="009D7FE4"/>
    <w:rsid w:val="009E0B8D"/>
    <w:rsid w:val="009E1ABE"/>
    <w:rsid w:val="009E1B32"/>
    <w:rsid w:val="009E1F3A"/>
    <w:rsid w:val="009E2420"/>
    <w:rsid w:val="009E2478"/>
    <w:rsid w:val="009E2548"/>
    <w:rsid w:val="009E2AE1"/>
    <w:rsid w:val="009E3297"/>
    <w:rsid w:val="009E33A6"/>
    <w:rsid w:val="009E36B0"/>
    <w:rsid w:val="009E3CDD"/>
    <w:rsid w:val="009E6660"/>
    <w:rsid w:val="009E7555"/>
    <w:rsid w:val="009F0767"/>
    <w:rsid w:val="009F09A7"/>
    <w:rsid w:val="009F22C4"/>
    <w:rsid w:val="009F2600"/>
    <w:rsid w:val="009F29C8"/>
    <w:rsid w:val="009F2EA4"/>
    <w:rsid w:val="009F367B"/>
    <w:rsid w:val="009F556A"/>
    <w:rsid w:val="009F5D1F"/>
    <w:rsid w:val="009F636F"/>
    <w:rsid w:val="009F701B"/>
    <w:rsid w:val="009F722E"/>
    <w:rsid w:val="009F7C7C"/>
    <w:rsid w:val="009F7DEB"/>
    <w:rsid w:val="00A005AA"/>
    <w:rsid w:val="00A00A37"/>
    <w:rsid w:val="00A01760"/>
    <w:rsid w:val="00A019B1"/>
    <w:rsid w:val="00A01FBD"/>
    <w:rsid w:val="00A0206D"/>
    <w:rsid w:val="00A024CC"/>
    <w:rsid w:val="00A0344C"/>
    <w:rsid w:val="00A04298"/>
    <w:rsid w:val="00A04A88"/>
    <w:rsid w:val="00A0504A"/>
    <w:rsid w:val="00A05182"/>
    <w:rsid w:val="00A051DE"/>
    <w:rsid w:val="00A05A51"/>
    <w:rsid w:val="00A06073"/>
    <w:rsid w:val="00A0669C"/>
    <w:rsid w:val="00A07159"/>
    <w:rsid w:val="00A07568"/>
    <w:rsid w:val="00A07E2E"/>
    <w:rsid w:val="00A1045B"/>
    <w:rsid w:val="00A106B6"/>
    <w:rsid w:val="00A10F52"/>
    <w:rsid w:val="00A1117B"/>
    <w:rsid w:val="00A115D5"/>
    <w:rsid w:val="00A12660"/>
    <w:rsid w:val="00A12960"/>
    <w:rsid w:val="00A1334B"/>
    <w:rsid w:val="00A13777"/>
    <w:rsid w:val="00A13DBC"/>
    <w:rsid w:val="00A14E4F"/>
    <w:rsid w:val="00A14F55"/>
    <w:rsid w:val="00A1550B"/>
    <w:rsid w:val="00A1587B"/>
    <w:rsid w:val="00A161E6"/>
    <w:rsid w:val="00A1661A"/>
    <w:rsid w:val="00A16E2E"/>
    <w:rsid w:val="00A170DE"/>
    <w:rsid w:val="00A17520"/>
    <w:rsid w:val="00A20258"/>
    <w:rsid w:val="00A2040D"/>
    <w:rsid w:val="00A207F9"/>
    <w:rsid w:val="00A20AF7"/>
    <w:rsid w:val="00A20CCD"/>
    <w:rsid w:val="00A20EDF"/>
    <w:rsid w:val="00A21903"/>
    <w:rsid w:val="00A22C0B"/>
    <w:rsid w:val="00A22CF2"/>
    <w:rsid w:val="00A22FBB"/>
    <w:rsid w:val="00A23430"/>
    <w:rsid w:val="00A23AAB"/>
    <w:rsid w:val="00A23E78"/>
    <w:rsid w:val="00A25053"/>
    <w:rsid w:val="00A2514E"/>
    <w:rsid w:val="00A251AA"/>
    <w:rsid w:val="00A256C8"/>
    <w:rsid w:val="00A2580B"/>
    <w:rsid w:val="00A26857"/>
    <w:rsid w:val="00A26951"/>
    <w:rsid w:val="00A26993"/>
    <w:rsid w:val="00A26ACD"/>
    <w:rsid w:val="00A27B4C"/>
    <w:rsid w:val="00A27E0E"/>
    <w:rsid w:val="00A27FF8"/>
    <w:rsid w:val="00A3075D"/>
    <w:rsid w:val="00A31574"/>
    <w:rsid w:val="00A31C23"/>
    <w:rsid w:val="00A31D94"/>
    <w:rsid w:val="00A31F3F"/>
    <w:rsid w:val="00A32F5D"/>
    <w:rsid w:val="00A3325B"/>
    <w:rsid w:val="00A3387F"/>
    <w:rsid w:val="00A33E3F"/>
    <w:rsid w:val="00A34B0F"/>
    <w:rsid w:val="00A36356"/>
    <w:rsid w:val="00A36690"/>
    <w:rsid w:val="00A36CBB"/>
    <w:rsid w:val="00A36E95"/>
    <w:rsid w:val="00A37A83"/>
    <w:rsid w:val="00A37AD8"/>
    <w:rsid w:val="00A40BA1"/>
    <w:rsid w:val="00A40DA0"/>
    <w:rsid w:val="00A41C0E"/>
    <w:rsid w:val="00A41C32"/>
    <w:rsid w:val="00A41E7C"/>
    <w:rsid w:val="00A421F9"/>
    <w:rsid w:val="00A44598"/>
    <w:rsid w:val="00A44F06"/>
    <w:rsid w:val="00A458A9"/>
    <w:rsid w:val="00A468CE"/>
    <w:rsid w:val="00A47390"/>
    <w:rsid w:val="00A477DF"/>
    <w:rsid w:val="00A47B29"/>
    <w:rsid w:val="00A47E70"/>
    <w:rsid w:val="00A505FA"/>
    <w:rsid w:val="00A50CFB"/>
    <w:rsid w:val="00A519F5"/>
    <w:rsid w:val="00A51A11"/>
    <w:rsid w:val="00A53BBC"/>
    <w:rsid w:val="00A53C05"/>
    <w:rsid w:val="00A53D28"/>
    <w:rsid w:val="00A53EF7"/>
    <w:rsid w:val="00A540C6"/>
    <w:rsid w:val="00A547B7"/>
    <w:rsid w:val="00A54BE0"/>
    <w:rsid w:val="00A54BED"/>
    <w:rsid w:val="00A54D07"/>
    <w:rsid w:val="00A55178"/>
    <w:rsid w:val="00A55318"/>
    <w:rsid w:val="00A55B59"/>
    <w:rsid w:val="00A55CE9"/>
    <w:rsid w:val="00A562C3"/>
    <w:rsid w:val="00A5639D"/>
    <w:rsid w:val="00A57674"/>
    <w:rsid w:val="00A579E8"/>
    <w:rsid w:val="00A60976"/>
    <w:rsid w:val="00A6194C"/>
    <w:rsid w:val="00A62673"/>
    <w:rsid w:val="00A62C58"/>
    <w:rsid w:val="00A62DF6"/>
    <w:rsid w:val="00A63BBA"/>
    <w:rsid w:val="00A63E45"/>
    <w:rsid w:val="00A6530D"/>
    <w:rsid w:val="00A65522"/>
    <w:rsid w:val="00A6596D"/>
    <w:rsid w:val="00A65C34"/>
    <w:rsid w:val="00A667C2"/>
    <w:rsid w:val="00A66BEE"/>
    <w:rsid w:val="00A66CCF"/>
    <w:rsid w:val="00A670D2"/>
    <w:rsid w:val="00A672B8"/>
    <w:rsid w:val="00A675CB"/>
    <w:rsid w:val="00A67722"/>
    <w:rsid w:val="00A67C1C"/>
    <w:rsid w:val="00A67FF6"/>
    <w:rsid w:val="00A7006D"/>
    <w:rsid w:val="00A7106F"/>
    <w:rsid w:val="00A71E38"/>
    <w:rsid w:val="00A722B8"/>
    <w:rsid w:val="00A731D9"/>
    <w:rsid w:val="00A73E46"/>
    <w:rsid w:val="00A7433D"/>
    <w:rsid w:val="00A74894"/>
    <w:rsid w:val="00A74CC9"/>
    <w:rsid w:val="00A75132"/>
    <w:rsid w:val="00A7720A"/>
    <w:rsid w:val="00A77659"/>
    <w:rsid w:val="00A77684"/>
    <w:rsid w:val="00A8005D"/>
    <w:rsid w:val="00A801A4"/>
    <w:rsid w:val="00A80212"/>
    <w:rsid w:val="00A80A64"/>
    <w:rsid w:val="00A80D16"/>
    <w:rsid w:val="00A81A24"/>
    <w:rsid w:val="00A81E4F"/>
    <w:rsid w:val="00A84041"/>
    <w:rsid w:val="00A84365"/>
    <w:rsid w:val="00A845C2"/>
    <w:rsid w:val="00A84A2A"/>
    <w:rsid w:val="00A85358"/>
    <w:rsid w:val="00A8652A"/>
    <w:rsid w:val="00A877CF"/>
    <w:rsid w:val="00A878AF"/>
    <w:rsid w:val="00A87CBE"/>
    <w:rsid w:val="00A90726"/>
    <w:rsid w:val="00A9073E"/>
    <w:rsid w:val="00A90A2A"/>
    <w:rsid w:val="00A90AFC"/>
    <w:rsid w:val="00A92401"/>
    <w:rsid w:val="00A92F66"/>
    <w:rsid w:val="00A93266"/>
    <w:rsid w:val="00A93374"/>
    <w:rsid w:val="00A936CB"/>
    <w:rsid w:val="00A93A22"/>
    <w:rsid w:val="00A93A24"/>
    <w:rsid w:val="00A95728"/>
    <w:rsid w:val="00A963A4"/>
    <w:rsid w:val="00A9641D"/>
    <w:rsid w:val="00A96645"/>
    <w:rsid w:val="00A96F4B"/>
    <w:rsid w:val="00A979AD"/>
    <w:rsid w:val="00A97E46"/>
    <w:rsid w:val="00A97F47"/>
    <w:rsid w:val="00AA0425"/>
    <w:rsid w:val="00AA0722"/>
    <w:rsid w:val="00AA09FE"/>
    <w:rsid w:val="00AA0C8B"/>
    <w:rsid w:val="00AA1373"/>
    <w:rsid w:val="00AA1886"/>
    <w:rsid w:val="00AA2718"/>
    <w:rsid w:val="00AA2C51"/>
    <w:rsid w:val="00AA35EF"/>
    <w:rsid w:val="00AA3723"/>
    <w:rsid w:val="00AA3AF9"/>
    <w:rsid w:val="00AA4857"/>
    <w:rsid w:val="00AA56D1"/>
    <w:rsid w:val="00AA5894"/>
    <w:rsid w:val="00AA63C5"/>
    <w:rsid w:val="00AA652E"/>
    <w:rsid w:val="00AA671B"/>
    <w:rsid w:val="00AA7016"/>
    <w:rsid w:val="00AA7AD3"/>
    <w:rsid w:val="00AB0401"/>
    <w:rsid w:val="00AB0654"/>
    <w:rsid w:val="00AB069E"/>
    <w:rsid w:val="00AB0CE3"/>
    <w:rsid w:val="00AB1A31"/>
    <w:rsid w:val="00AB2621"/>
    <w:rsid w:val="00AB275C"/>
    <w:rsid w:val="00AB2A66"/>
    <w:rsid w:val="00AB30A2"/>
    <w:rsid w:val="00AB3F02"/>
    <w:rsid w:val="00AB4312"/>
    <w:rsid w:val="00AB462A"/>
    <w:rsid w:val="00AB539A"/>
    <w:rsid w:val="00AB5514"/>
    <w:rsid w:val="00AB56E9"/>
    <w:rsid w:val="00AB5AF0"/>
    <w:rsid w:val="00AB5C79"/>
    <w:rsid w:val="00AB5E52"/>
    <w:rsid w:val="00AB6698"/>
    <w:rsid w:val="00AB6E0B"/>
    <w:rsid w:val="00AB76F5"/>
    <w:rsid w:val="00AB7751"/>
    <w:rsid w:val="00AB7827"/>
    <w:rsid w:val="00AC081C"/>
    <w:rsid w:val="00AC0FF3"/>
    <w:rsid w:val="00AC11FB"/>
    <w:rsid w:val="00AC21E3"/>
    <w:rsid w:val="00AC26DD"/>
    <w:rsid w:val="00AC2BB8"/>
    <w:rsid w:val="00AC2CD7"/>
    <w:rsid w:val="00AC3007"/>
    <w:rsid w:val="00AC3513"/>
    <w:rsid w:val="00AC3F5B"/>
    <w:rsid w:val="00AC43FD"/>
    <w:rsid w:val="00AC4452"/>
    <w:rsid w:val="00AC4632"/>
    <w:rsid w:val="00AC49B0"/>
    <w:rsid w:val="00AC5F48"/>
    <w:rsid w:val="00AC62C1"/>
    <w:rsid w:val="00AC7EFD"/>
    <w:rsid w:val="00AD0208"/>
    <w:rsid w:val="00AD2295"/>
    <w:rsid w:val="00AD234A"/>
    <w:rsid w:val="00AD29A3"/>
    <w:rsid w:val="00AD2E7A"/>
    <w:rsid w:val="00AD30A8"/>
    <w:rsid w:val="00AD3318"/>
    <w:rsid w:val="00AD33BA"/>
    <w:rsid w:val="00AD36D5"/>
    <w:rsid w:val="00AD39D6"/>
    <w:rsid w:val="00AD4915"/>
    <w:rsid w:val="00AD4C44"/>
    <w:rsid w:val="00AD5311"/>
    <w:rsid w:val="00AD575A"/>
    <w:rsid w:val="00AD5E63"/>
    <w:rsid w:val="00AD5F48"/>
    <w:rsid w:val="00AD66E5"/>
    <w:rsid w:val="00AD687A"/>
    <w:rsid w:val="00AD6892"/>
    <w:rsid w:val="00AD6A49"/>
    <w:rsid w:val="00AD770C"/>
    <w:rsid w:val="00AE0ABA"/>
    <w:rsid w:val="00AE0B65"/>
    <w:rsid w:val="00AE0D18"/>
    <w:rsid w:val="00AE17C2"/>
    <w:rsid w:val="00AE1FFD"/>
    <w:rsid w:val="00AE21D8"/>
    <w:rsid w:val="00AE356C"/>
    <w:rsid w:val="00AE38A1"/>
    <w:rsid w:val="00AE43E2"/>
    <w:rsid w:val="00AE4939"/>
    <w:rsid w:val="00AE4BB5"/>
    <w:rsid w:val="00AE4C6E"/>
    <w:rsid w:val="00AE4CE9"/>
    <w:rsid w:val="00AE4EA2"/>
    <w:rsid w:val="00AE4F09"/>
    <w:rsid w:val="00AE4F4F"/>
    <w:rsid w:val="00AE52C8"/>
    <w:rsid w:val="00AE5870"/>
    <w:rsid w:val="00AE6275"/>
    <w:rsid w:val="00AE629D"/>
    <w:rsid w:val="00AE6388"/>
    <w:rsid w:val="00AE6C4E"/>
    <w:rsid w:val="00AE72DE"/>
    <w:rsid w:val="00AE7311"/>
    <w:rsid w:val="00AE78AD"/>
    <w:rsid w:val="00AF07DE"/>
    <w:rsid w:val="00AF135B"/>
    <w:rsid w:val="00AF1FAF"/>
    <w:rsid w:val="00AF33D4"/>
    <w:rsid w:val="00AF4E16"/>
    <w:rsid w:val="00AF4FEA"/>
    <w:rsid w:val="00AF51AE"/>
    <w:rsid w:val="00AF560C"/>
    <w:rsid w:val="00AF564E"/>
    <w:rsid w:val="00AF5E54"/>
    <w:rsid w:val="00AF6A14"/>
    <w:rsid w:val="00AF723C"/>
    <w:rsid w:val="00B01093"/>
    <w:rsid w:val="00B01312"/>
    <w:rsid w:val="00B01672"/>
    <w:rsid w:val="00B01725"/>
    <w:rsid w:val="00B019A1"/>
    <w:rsid w:val="00B01FF6"/>
    <w:rsid w:val="00B0226A"/>
    <w:rsid w:val="00B02FDE"/>
    <w:rsid w:val="00B02FF0"/>
    <w:rsid w:val="00B0300A"/>
    <w:rsid w:val="00B03B48"/>
    <w:rsid w:val="00B03F36"/>
    <w:rsid w:val="00B03FD5"/>
    <w:rsid w:val="00B0432D"/>
    <w:rsid w:val="00B04494"/>
    <w:rsid w:val="00B0477D"/>
    <w:rsid w:val="00B05DFD"/>
    <w:rsid w:val="00B063CD"/>
    <w:rsid w:val="00B0727E"/>
    <w:rsid w:val="00B073DF"/>
    <w:rsid w:val="00B07C86"/>
    <w:rsid w:val="00B07D2D"/>
    <w:rsid w:val="00B07F45"/>
    <w:rsid w:val="00B07F67"/>
    <w:rsid w:val="00B10188"/>
    <w:rsid w:val="00B101C2"/>
    <w:rsid w:val="00B105EB"/>
    <w:rsid w:val="00B1165E"/>
    <w:rsid w:val="00B1186D"/>
    <w:rsid w:val="00B124B0"/>
    <w:rsid w:val="00B125A0"/>
    <w:rsid w:val="00B13859"/>
    <w:rsid w:val="00B13BFD"/>
    <w:rsid w:val="00B15317"/>
    <w:rsid w:val="00B15E64"/>
    <w:rsid w:val="00B17FE0"/>
    <w:rsid w:val="00B20055"/>
    <w:rsid w:val="00B20234"/>
    <w:rsid w:val="00B207BC"/>
    <w:rsid w:val="00B2109A"/>
    <w:rsid w:val="00B2175E"/>
    <w:rsid w:val="00B2178C"/>
    <w:rsid w:val="00B21B56"/>
    <w:rsid w:val="00B21BAA"/>
    <w:rsid w:val="00B21F8C"/>
    <w:rsid w:val="00B22B26"/>
    <w:rsid w:val="00B237DC"/>
    <w:rsid w:val="00B2389C"/>
    <w:rsid w:val="00B23BE2"/>
    <w:rsid w:val="00B23E3C"/>
    <w:rsid w:val="00B23EDD"/>
    <w:rsid w:val="00B23EEB"/>
    <w:rsid w:val="00B244E4"/>
    <w:rsid w:val="00B24AA9"/>
    <w:rsid w:val="00B24CF7"/>
    <w:rsid w:val="00B24E6A"/>
    <w:rsid w:val="00B25057"/>
    <w:rsid w:val="00B2513E"/>
    <w:rsid w:val="00B258BB"/>
    <w:rsid w:val="00B26402"/>
    <w:rsid w:val="00B26521"/>
    <w:rsid w:val="00B266FB"/>
    <w:rsid w:val="00B26F92"/>
    <w:rsid w:val="00B279C1"/>
    <w:rsid w:val="00B301AD"/>
    <w:rsid w:val="00B30222"/>
    <w:rsid w:val="00B30373"/>
    <w:rsid w:val="00B30787"/>
    <w:rsid w:val="00B30E1E"/>
    <w:rsid w:val="00B323CC"/>
    <w:rsid w:val="00B32438"/>
    <w:rsid w:val="00B32FFD"/>
    <w:rsid w:val="00B33658"/>
    <w:rsid w:val="00B336EB"/>
    <w:rsid w:val="00B33A56"/>
    <w:rsid w:val="00B33ADA"/>
    <w:rsid w:val="00B33EFD"/>
    <w:rsid w:val="00B33F1D"/>
    <w:rsid w:val="00B3414D"/>
    <w:rsid w:val="00B342DA"/>
    <w:rsid w:val="00B34A42"/>
    <w:rsid w:val="00B35334"/>
    <w:rsid w:val="00B35CD0"/>
    <w:rsid w:val="00B36C7C"/>
    <w:rsid w:val="00B37488"/>
    <w:rsid w:val="00B37BFC"/>
    <w:rsid w:val="00B37EFA"/>
    <w:rsid w:val="00B40474"/>
    <w:rsid w:val="00B40C58"/>
    <w:rsid w:val="00B40F2E"/>
    <w:rsid w:val="00B41F4E"/>
    <w:rsid w:val="00B425E9"/>
    <w:rsid w:val="00B43B2A"/>
    <w:rsid w:val="00B43CE5"/>
    <w:rsid w:val="00B44B20"/>
    <w:rsid w:val="00B44EA5"/>
    <w:rsid w:val="00B455AD"/>
    <w:rsid w:val="00B456D9"/>
    <w:rsid w:val="00B45A40"/>
    <w:rsid w:val="00B45B5D"/>
    <w:rsid w:val="00B4690B"/>
    <w:rsid w:val="00B46AF7"/>
    <w:rsid w:val="00B47ADA"/>
    <w:rsid w:val="00B47D43"/>
    <w:rsid w:val="00B51155"/>
    <w:rsid w:val="00B517BF"/>
    <w:rsid w:val="00B517E9"/>
    <w:rsid w:val="00B51D38"/>
    <w:rsid w:val="00B52A9D"/>
    <w:rsid w:val="00B52BE4"/>
    <w:rsid w:val="00B5310C"/>
    <w:rsid w:val="00B531C1"/>
    <w:rsid w:val="00B5348B"/>
    <w:rsid w:val="00B542B2"/>
    <w:rsid w:val="00B54573"/>
    <w:rsid w:val="00B54894"/>
    <w:rsid w:val="00B55238"/>
    <w:rsid w:val="00B557E9"/>
    <w:rsid w:val="00B56486"/>
    <w:rsid w:val="00B56819"/>
    <w:rsid w:val="00B568DE"/>
    <w:rsid w:val="00B575FD"/>
    <w:rsid w:val="00B60630"/>
    <w:rsid w:val="00B611CD"/>
    <w:rsid w:val="00B61315"/>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11EA"/>
    <w:rsid w:val="00B720A7"/>
    <w:rsid w:val="00B73271"/>
    <w:rsid w:val="00B7336C"/>
    <w:rsid w:val="00B7554E"/>
    <w:rsid w:val="00B75C5E"/>
    <w:rsid w:val="00B76647"/>
    <w:rsid w:val="00B76907"/>
    <w:rsid w:val="00B769AB"/>
    <w:rsid w:val="00B77285"/>
    <w:rsid w:val="00B772FE"/>
    <w:rsid w:val="00B77816"/>
    <w:rsid w:val="00B77827"/>
    <w:rsid w:val="00B77D99"/>
    <w:rsid w:val="00B8042E"/>
    <w:rsid w:val="00B805CB"/>
    <w:rsid w:val="00B80972"/>
    <w:rsid w:val="00B80AB8"/>
    <w:rsid w:val="00B812EB"/>
    <w:rsid w:val="00B81D26"/>
    <w:rsid w:val="00B82348"/>
    <w:rsid w:val="00B834A4"/>
    <w:rsid w:val="00B84247"/>
    <w:rsid w:val="00B846B1"/>
    <w:rsid w:val="00B848FF"/>
    <w:rsid w:val="00B84F5F"/>
    <w:rsid w:val="00B85082"/>
    <w:rsid w:val="00B8634C"/>
    <w:rsid w:val="00B868BA"/>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29C"/>
    <w:rsid w:val="00B94DDE"/>
    <w:rsid w:val="00B9627E"/>
    <w:rsid w:val="00B9677A"/>
    <w:rsid w:val="00B97DCB"/>
    <w:rsid w:val="00BA0956"/>
    <w:rsid w:val="00BA0F4A"/>
    <w:rsid w:val="00BA104E"/>
    <w:rsid w:val="00BA1425"/>
    <w:rsid w:val="00BA1452"/>
    <w:rsid w:val="00BA2393"/>
    <w:rsid w:val="00BA23DF"/>
    <w:rsid w:val="00BA2C0B"/>
    <w:rsid w:val="00BA2D88"/>
    <w:rsid w:val="00BA335C"/>
    <w:rsid w:val="00BA5482"/>
    <w:rsid w:val="00BA5850"/>
    <w:rsid w:val="00BA5F8F"/>
    <w:rsid w:val="00BA690A"/>
    <w:rsid w:val="00BA716D"/>
    <w:rsid w:val="00BA71C3"/>
    <w:rsid w:val="00BB0372"/>
    <w:rsid w:val="00BB1A1E"/>
    <w:rsid w:val="00BB20CB"/>
    <w:rsid w:val="00BB2958"/>
    <w:rsid w:val="00BB2FC2"/>
    <w:rsid w:val="00BB317F"/>
    <w:rsid w:val="00BB3288"/>
    <w:rsid w:val="00BB39DE"/>
    <w:rsid w:val="00BB44BB"/>
    <w:rsid w:val="00BB5BAB"/>
    <w:rsid w:val="00BB5DFC"/>
    <w:rsid w:val="00BB6023"/>
    <w:rsid w:val="00BB64C8"/>
    <w:rsid w:val="00BB64E5"/>
    <w:rsid w:val="00BB67A9"/>
    <w:rsid w:val="00BB6856"/>
    <w:rsid w:val="00BB7663"/>
    <w:rsid w:val="00BB7DB0"/>
    <w:rsid w:val="00BC0127"/>
    <w:rsid w:val="00BC07EE"/>
    <w:rsid w:val="00BC1AC4"/>
    <w:rsid w:val="00BC2611"/>
    <w:rsid w:val="00BC28D5"/>
    <w:rsid w:val="00BC2A13"/>
    <w:rsid w:val="00BC3B2E"/>
    <w:rsid w:val="00BC4A2A"/>
    <w:rsid w:val="00BC4C67"/>
    <w:rsid w:val="00BC4E74"/>
    <w:rsid w:val="00BC519C"/>
    <w:rsid w:val="00BC5A29"/>
    <w:rsid w:val="00BC5F9D"/>
    <w:rsid w:val="00BC678B"/>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C83"/>
    <w:rsid w:val="00BD5D39"/>
    <w:rsid w:val="00BD6AFA"/>
    <w:rsid w:val="00BD7403"/>
    <w:rsid w:val="00BD7520"/>
    <w:rsid w:val="00BD7769"/>
    <w:rsid w:val="00BD7BB4"/>
    <w:rsid w:val="00BE0D15"/>
    <w:rsid w:val="00BE1692"/>
    <w:rsid w:val="00BE1E98"/>
    <w:rsid w:val="00BE2E42"/>
    <w:rsid w:val="00BE30A3"/>
    <w:rsid w:val="00BE3A48"/>
    <w:rsid w:val="00BE3B24"/>
    <w:rsid w:val="00BE3D5A"/>
    <w:rsid w:val="00BE4279"/>
    <w:rsid w:val="00BE466B"/>
    <w:rsid w:val="00BE5355"/>
    <w:rsid w:val="00BE55E2"/>
    <w:rsid w:val="00BE590D"/>
    <w:rsid w:val="00BE5C95"/>
    <w:rsid w:val="00BE5F70"/>
    <w:rsid w:val="00BE60F4"/>
    <w:rsid w:val="00BE6A46"/>
    <w:rsid w:val="00BE6AE3"/>
    <w:rsid w:val="00BE6BA2"/>
    <w:rsid w:val="00BE6C08"/>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498"/>
    <w:rsid w:val="00BF4504"/>
    <w:rsid w:val="00BF4821"/>
    <w:rsid w:val="00BF5A9B"/>
    <w:rsid w:val="00BF5BE2"/>
    <w:rsid w:val="00BF5DCE"/>
    <w:rsid w:val="00BF730E"/>
    <w:rsid w:val="00BF76DD"/>
    <w:rsid w:val="00BF7D32"/>
    <w:rsid w:val="00C002E2"/>
    <w:rsid w:val="00C0113F"/>
    <w:rsid w:val="00C0145B"/>
    <w:rsid w:val="00C01664"/>
    <w:rsid w:val="00C0169C"/>
    <w:rsid w:val="00C01A29"/>
    <w:rsid w:val="00C02C18"/>
    <w:rsid w:val="00C032CC"/>
    <w:rsid w:val="00C03785"/>
    <w:rsid w:val="00C0387C"/>
    <w:rsid w:val="00C04E08"/>
    <w:rsid w:val="00C05AAE"/>
    <w:rsid w:val="00C1017A"/>
    <w:rsid w:val="00C119DD"/>
    <w:rsid w:val="00C123CD"/>
    <w:rsid w:val="00C131CB"/>
    <w:rsid w:val="00C13FA5"/>
    <w:rsid w:val="00C14477"/>
    <w:rsid w:val="00C14E5A"/>
    <w:rsid w:val="00C14F87"/>
    <w:rsid w:val="00C1511D"/>
    <w:rsid w:val="00C151BB"/>
    <w:rsid w:val="00C15240"/>
    <w:rsid w:val="00C15285"/>
    <w:rsid w:val="00C156B3"/>
    <w:rsid w:val="00C15CFB"/>
    <w:rsid w:val="00C15E22"/>
    <w:rsid w:val="00C16E18"/>
    <w:rsid w:val="00C201A5"/>
    <w:rsid w:val="00C20383"/>
    <w:rsid w:val="00C2068A"/>
    <w:rsid w:val="00C210DF"/>
    <w:rsid w:val="00C213FC"/>
    <w:rsid w:val="00C215F4"/>
    <w:rsid w:val="00C21DEF"/>
    <w:rsid w:val="00C2298C"/>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3D35"/>
    <w:rsid w:val="00C3438B"/>
    <w:rsid w:val="00C35290"/>
    <w:rsid w:val="00C35BED"/>
    <w:rsid w:val="00C35F4A"/>
    <w:rsid w:val="00C35F5A"/>
    <w:rsid w:val="00C365A0"/>
    <w:rsid w:val="00C36C75"/>
    <w:rsid w:val="00C36F2E"/>
    <w:rsid w:val="00C36FB7"/>
    <w:rsid w:val="00C37106"/>
    <w:rsid w:val="00C37E2F"/>
    <w:rsid w:val="00C400A2"/>
    <w:rsid w:val="00C40937"/>
    <w:rsid w:val="00C40B06"/>
    <w:rsid w:val="00C40D00"/>
    <w:rsid w:val="00C40F99"/>
    <w:rsid w:val="00C41BB5"/>
    <w:rsid w:val="00C41E47"/>
    <w:rsid w:val="00C420A0"/>
    <w:rsid w:val="00C421B9"/>
    <w:rsid w:val="00C42277"/>
    <w:rsid w:val="00C422DB"/>
    <w:rsid w:val="00C42F96"/>
    <w:rsid w:val="00C4323B"/>
    <w:rsid w:val="00C43DF4"/>
    <w:rsid w:val="00C45843"/>
    <w:rsid w:val="00C46070"/>
    <w:rsid w:val="00C465A1"/>
    <w:rsid w:val="00C47180"/>
    <w:rsid w:val="00C476E7"/>
    <w:rsid w:val="00C506DE"/>
    <w:rsid w:val="00C50DCA"/>
    <w:rsid w:val="00C510C3"/>
    <w:rsid w:val="00C51C46"/>
    <w:rsid w:val="00C51DD1"/>
    <w:rsid w:val="00C51F11"/>
    <w:rsid w:val="00C51F73"/>
    <w:rsid w:val="00C52101"/>
    <w:rsid w:val="00C52358"/>
    <w:rsid w:val="00C52F22"/>
    <w:rsid w:val="00C53B3F"/>
    <w:rsid w:val="00C53F2D"/>
    <w:rsid w:val="00C5492B"/>
    <w:rsid w:val="00C5545F"/>
    <w:rsid w:val="00C56527"/>
    <w:rsid w:val="00C5652B"/>
    <w:rsid w:val="00C57D14"/>
    <w:rsid w:val="00C606A4"/>
    <w:rsid w:val="00C607C3"/>
    <w:rsid w:val="00C608CB"/>
    <w:rsid w:val="00C60CF7"/>
    <w:rsid w:val="00C611AB"/>
    <w:rsid w:val="00C61501"/>
    <w:rsid w:val="00C61A48"/>
    <w:rsid w:val="00C61A79"/>
    <w:rsid w:val="00C62410"/>
    <w:rsid w:val="00C62881"/>
    <w:rsid w:val="00C63B5F"/>
    <w:rsid w:val="00C63D22"/>
    <w:rsid w:val="00C63E75"/>
    <w:rsid w:val="00C64F57"/>
    <w:rsid w:val="00C67024"/>
    <w:rsid w:val="00C678FA"/>
    <w:rsid w:val="00C6799C"/>
    <w:rsid w:val="00C704FB"/>
    <w:rsid w:val="00C7071C"/>
    <w:rsid w:val="00C707DC"/>
    <w:rsid w:val="00C70F3A"/>
    <w:rsid w:val="00C7286D"/>
    <w:rsid w:val="00C72BB6"/>
    <w:rsid w:val="00C72DF3"/>
    <w:rsid w:val="00C73C9E"/>
    <w:rsid w:val="00C7409D"/>
    <w:rsid w:val="00C748FB"/>
    <w:rsid w:val="00C7490C"/>
    <w:rsid w:val="00C74A70"/>
    <w:rsid w:val="00C74B95"/>
    <w:rsid w:val="00C74D52"/>
    <w:rsid w:val="00C7506F"/>
    <w:rsid w:val="00C75BBE"/>
    <w:rsid w:val="00C762B4"/>
    <w:rsid w:val="00C76352"/>
    <w:rsid w:val="00C76676"/>
    <w:rsid w:val="00C771ED"/>
    <w:rsid w:val="00C77464"/>
    <w:rsid w:val="00C77507"/>
    <w:rsid w:val="00C80236"/>
    <w:rsid w:val="00C80496"/>
    <w:rsid w:val="00C807E7"/>
    <w:rsid w:val="00C80DA9"/>
    <w:rsid w:val="00C813D9"/>
    <w:rsid w:val="00C81812"/>
    <w:rsid w:val="00C81BD2"/>
    <w:rsid w:val="00C823EC"/>
    <w:rsid w:val="00C82F81"/>
    <w:rsid w:val="00C8347F"/>
    <w:rsid w:val="00C8409F"/>
    <w:rsid w:val="00C8421C"/>
    <w:rsid w:val="00C844BE"/>
    <w:rsid w:val="00C84B83"/>
    <w:rsid w:val="00C8506F"/>
    <w:rsid w:val="00C8562D"/>
    <w:rsid w:val="00C85B6F"/>
    <w:rsid w:val="00C85C18"/>
    <w:rsid w:val="00C85DBA"/>
    <w:rsid w:val="00C85F05"/>
    <w:rsid w:val="00C867CF"/>
    <w:rsid w:val="00C86B9A"/>
    <w:rsid w:val="00C8796E"/>
    <w:rsid w:val="00C91825"/>
    <w:rsid w:val="00C93162"/>
    <w:rsid w:val="00C93769"/>
    <w:rsid w:val="00C93A3D"/>
    <w:rsid w:val="00C93D15"/>
    <w:rsid w:val="00C93EDB"/>
    <w:rsid w:val="00C941E8"/>
    <w:rsid w:val="00C94A8C"/>
    <w:rsid w:val="00C94B39"/>
    <w:rsid w:val="00C95304"/>
    <w:rsid w:val="00C95985"/>
    <w:rsid w:val="00C95D6E"/>
    <w:rsid w:val="00C96643"/>
    <w:rsid w:val="00C96708"/>
    <w:rsid w:val="00C971BF"/>
    <w:rsid w:val="00C9757A"/>
    <w:rsid w:val="00C97978"/>
    <w:rsid w:val="00C97996"/>
    <w:rsid w:val="00C97A46"/>
    <w:rsid w:val="00C97B14"/>
    <w:rsid w:val="00CA0415"/>
    <w:rsid w:val="00CA06E5"/>
    <w:rsid w:val="00CA08D0"/>
    <w:rsid w:val="00CA1850"/>
    <w:rsid w:val="00CA1AB9"/>
    <w:rsid w:val="00CA1E1A"/>
    <w:rsid w:val="00CA236B"/>
    <w:rsid w:val="00CA2EA4"/>
    <w:rsid w:val="00CA2F11"/>
    <w:rsid w:val="00CA36CF"/>
    <w:rsid w:val="00CA4282"/>
    <w:rsid w:val="00CA4383"/>
    <w:rsid w:val="00CA47C2"/>
    <w:rsid w:val="00CA4A6B"/>
    <w:rsid w:val="00CA6043"/>
    <w:rsid w:val="00CB0400"/>
    <w:rsid w:val="00CB0416"/>
    <w:rsid w:val="00CB0877"/>
    <w:rsid w:val="00CB1943"/>
    <w:rsid w:val="00CB20E9"/>
    <w:rsid w:val="00CB21AA"/>
    <w:rsid w:val="00CB25EF"/>
    <w:rsid w:val="00CB2981"/>
    <w:rsid w:val="00CB2D8A"/>
    <w:rsid w:val="00CB356B"/>
    <w:rsid w:val="00CB36C6"/>
    <w:rsid w:val="00CB3777"/>
    <w:rsid w:val="00CB3906"/>
    <w:rsid w:val="00CB4536"/>
    <w:rsid w:val="00CB66DF"/>
    <w:rsid w:val="00CB7FAE"/>
    <w:rsid w:val="00CC1549"/>
    <w:rsid w:val="00CC2D47"/>
    <w:rsid w:val="00CC3365"/>
    <w:rsid w:val="00CC3A2D"/>
    <w:rsid w:val="00CC3A84"/>
    <w:rsid w:val="00CC41CE"/>
    <w:rsid w:val="00CC422A"/>
    <w:rsid w:val="00CC49E7"/>
    <w:rsid w:val="00CC5026"/>
    <w:rsid w:val="00CC5728"/>
    <w:rsid w:val="00CC7100"/>
    <w:rsid w:val="00CC729F"/>
    <w:rsid w:val="00CC7C84"/>
    <w:rsid w:val="00CC7EA1"/>
    <w:rsid w:val="00CD11C0"/>
    <w:rsid w:val="00CD1510"/>
    <w:rsid w:val="00CD182F"/>
    <w:rsid w:val="00CD1E45"/>
    <w:rsid w:val="00CD2197"/>
    <w:rsid w:val="00CD242A"/>
    <w:rsid w:val="00CD25D1"/>
    <w:rsid w:val="00CD2658"/>
    <w:rsid w:val="00CD2C31"/>
    <w:rsid w:val="00CD54BF"/>
    <w:rsid w:val="00CD5BB5"/>
    <w:rsid w:val="00CD5D14"/>
    <w:rsid w:val="00CD5E10"/>
    <w:rsid w:val="00CD6564"/>
    <w:rsid w:val="00CD6600"/>
    <w:rsid w:val="00CD7B28"/>
    <w:rsid w:val="00CE0305"/>
    <w:rsid w:val="00CE073A"/>
    <w:rsid w:val="00CE350D"/>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531"/>
    <w:rsid w:val="00CF3D99"/>
    <w:rsid w:val="00CF4D66"/>
    <w:rsid w:val="00CF5A58"/>
    <w:rsid w:val="00CF6236"/>
    <w:rsid w:val="00CF6329"/>
    <w:rsid w:val="00CF6742"/>
    <w:rsid w:val="00CF6815"/>
    <w:rsid w:val="00CF7771"/>
    <w:rsid w:val="00CF7BB4"/>
    <w:rsid w:val="00D008B6"/>
    <w:rsid w:val="00D00C83"/>
    <w:rsid w:val="00D01458"/>
    <w:rsid w:val="00D0261A"/>
    <w:rsid w:val="00D03340"/>
    <w:rsid w:val="00D034EF"/>
    <w:rsid w:val="00D03506"/>
    <w:rsid w:val="00D03AE1"/>
    <w:rsid w:val="00D04256"/>
    <w:rsid w:val="00D04405"/>
    <w:rsid w:val="00D049D6"/>
    <w:rsid w:val="00D0536B"/>
    <w:rsid w:val="00D060F4"/>
    <w:rsid w:val="00D0654D"/>
    <w:rsid w:val="00D06867"/>
    <w:rsid w:val="00D077F9"/>
    <w:rsid w:val="00D07D8D"/>
    <w:rsid w:val="00D07E7A"/>
    <w:rsid w:val="00D10992"/>
    <w:rsid w:val="00D110A5"/>
    <w:rsid w:val="00D11264"/>
    <w:rsid w:val="00D112C4"/>
    <w:rsid w:val="00D114E0"/>
    <w:rsid w:val="00D1177B"/>
    <w:rsid w:val="00D11B2A"/>
    <w:rsid w:val="00D11D7C"/>
    <w:rsid w:val="00D12B87"/>
    <w:rsid w:val="00D131E4"/>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2B1"/>
    <w:rsid w:val="00D2647F"/>
    <w:rsid w:val="00D2652A"/>
    <w:rsid w:val="00D26571"/>
    <w:rsid w:val="00D27477"/>
    <w:rsid w:val="00D27486"/>
    <w:rsid w:val="00D2756A"/>
    <w:rsid w:val="00D279A1"/>
    <w:rsid w:val="00D30410"/>
    <w:rsid w:val="00D30C52"/>
    <w:rsid w:val="00D31362"/>
    <w:rsid w:val="00D3136A"/>
    <w:rsid w:val="00D3212E"/>
    <w:rsid w:val="00D32AE4"/>
    <w:rsid w:val="00D334E5"/>
    <w:rsid w:val="00D337E6"/>
    <w:rsid w:val="00D33FC4"/>
    <w:rsid w:val="00D33FC6"/>
    <w:rsid w:val="00D34881"/>
    <w:rsid w:val="00D34FE2"/>
    <w:rsid w:val="00D35E17"/>
    <w:rsid w:val="00D366A2"/>
    <w:rsid w:val="00D3671E"/>
    <w:rsid w:val="00D368AF"/>
    <w:rsid w:val="00D36D3B"/>
    <w:rsid w:val="00D37DEE"/>
    <w:rsid w:val="00D401AF"/>
    <w:rsid w:val="00D403D8"/>
    <w:rsid w:val="00D4051A"/>
    <w:rsid w:val="00D406E2"/>
    <w:rsid w:val="00D4096D"/>
    <w:rsid w:val="00D4098D"/>
    <w:rsid w:val="00D40C13"/>
    <w:rsid w:val="00D40E63"/>
    <w:rsid w:val="00D41284"/>
    <w:rsid w:val="00D427CE"/>
    <w:rsid w:val="00D42803"/>
    <w:rsid w:val="00D4385B"/>
    <w:rsid w:val="00D449E8"/>
    <w:rsid w:val="00D44B6C"/>
    <w:rsid w:val="00D44BB1"/>
    <w:rsid w:val="00D458F3"/>
    <w:rsid w:val="00D45992"/>
    <w:rsid w:val="00D45DFC"/>
    <w:rsid w:val="00D467E9"/>
    <w:rsid w:val="00D47213"/>
    <w:rsid w:val="00D477DF"/>
    <w:rsid w:val="00D47E86"/>
    <w:rsid w:val="00D50009"/>
    <w:rsid w:val="00D50252"/>
    <w:rsid w:val="00D50345"/>
    <w:rsid w:val="00D50B27"/>
    <w:rsid w:val="00D51C09"/>
    <w:rsid w:val="00D5201F"/>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39D"/>
    <w:rsid w:val="00D62611"/>
    <w:rsid w:val="00D62AE6"/>
    <w:rsid w:val="00D62EBA"/>
    <w:rsid w:val="00D633E9"/>
    <w:rsid w:val="00D63A11"/>
    <w:rsid w:val="00D63E76"/>
    <w:rsid w:val="00D63EF1"/>
    <w:rsid w:val="00D6404E"/>
    <w:rsid w:val="00D6599C"/>
    <w:rsid w:val="00D65ABD"/>
    <w:rsid w:val="00D66FF9"/>
    <w:rsid w:val="00D67049"/>
    <w:rsid w:val="00D67096"/>
    <w:rsid w:val="00D67267"/>
    <w:rsid w:val="00D67829"/>
    <w:rsid w:val="00D6792A"/>
    <w:rsid w:val="00D67992"/>
    <w:rsid w:val="00D67F32"/>
    <w:rsid w:val="00D7053B"/>
    <w:rsid w:val="00D712EA"/>
    <w:rsid w:val="00D71477"/>
    <w:rsid w:val="00D714F5"/>
    <w:rsid w:val="00D716B9"/>
    <w:rsid w:val="00D72985"/>
    <w:rsid w:val="00D72D46"/>
    <w:rsid w:val="00D73503"/>
    <w:rsid w:val="00D740E0"/>
    <w:rsid w:val="00D74285"/>
    <w:rsid w:val="00D749F0"/>
    <w:rsid w:val="00D76386"/>
    <w:rsid w:val="00D76C85"/>
    <w:rsid w:val="00D76EB2"/>
    <w:rsid w:val="00D772AF"/>
    <w:rsid w:val="00D7765D"/>
    <w:rsid w:val="00D77F6A"/>
    <w:rsid w:val="00D8019D"/>
    <w:rsid w:val="00D80584"/>
    <w:rsid w:val="00D80638"/>
    <w:rsid w:val="00D809F3"/>
    <w:rsid w:val="00D80F15"/>
    <w:rsid w:val="00D810CC"/>
    <w:rsid w:val="00D815C7"/>
    <w:rsid w:val="00D83562"/>
    <w:rsid w:val="00D838EF"/>
    <w:rsid w:val="00D845F3"/>
    <w:rsid w:val="00D84959"/>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468B"/>
    <w:rsid w:val="00D955E8"/>
    <w:rsid w:val="00D95894"/>
    <w:rsid w:val="00D95B55"/>
    <w:rsid w:val="00D96557"/>
    <w:rsid w:val="00D96900"/>
    <w:rsid w:val="00D96BF4"/>
    <w:rsid w:val="00D9716E"/>
    <w:rsid w:val="00D9722C"/>
    <w:rsid w:val="00D978D3"/>
    <w:rsid w:val="00D97AE1"/>
    <w:rsid w:val="00D97C03"/>
    <w:rsid w:val="00D97EAE"/>
    <w:rsid w:val="00DA031C"/>
    <w:rsid w:val="00DA0D6B"/>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0C20"/>
    <w:rsid w:val="00DB101D"/>
    <w:rsid w:val="00DB1614"/>
    <w:rsid w:val="00DB1E5C"/>
    <w:rsid w:val="00DB2449"/>
    <w:rsid w:val="00DB27FC"/>
    <w:rsid w:val="00DB3C17"/>
    <w:rsid w:val="00DB3E23"/>
    <w:rsid w:val="00DB4104"/>
    <w:rsid w:val="00DB49EA"/>
    <w:rsid w:val="00DB4ACD"/>
    <w:rsid w:val="00DB4C0A"/>
    <w:rsid w:val="00DB546F"/>
    <w:rsid w:val="00DB57F8"/>
    <w:rsid w:val="00DB5988"/>
    <w:rsid w:val="00DB65CC"/>
    <w:rsid w:val="00DB68CD"/>
    <w:rsid w:val="00DB6C68"/>
    <w:rsid w:val="00DB7113"/>
    <w:rsid w:val="00DB75CA"/>
    <w:rsid w:val="00DB7B76"/>
    <w:rsid w:val="00DC0045"/>
    <w:rsid w:val="00DC00A6"/>
    <w:rsid w:val="00DC173E"/>
    <w:rsid w:val="00DC1E8E"/>
    <w:rsid w:val="00DC1F20"/>
    <w:rsid w:val="00DC215A"/>
    <w:rsid w:val="00DC2A0B"/>
    <w:rsid w:val="00DC2AD5"/>
    <w:rsid w:val="00DC5166"/>
    <w:rsid w:val="00DC5374"/>
    <w:rsid w:val="00DC610F"/>
    <w:rsid w:val="00DC6780"/>
    <w:rsid w:val="00DC6BAE"/>
    <w:rsid w:val="00DC7F44"/>
    <w:rsid w:val="00DD07AA"/>
    <w:rsid w:val="00DD0BC9"/>
    <w:rsid w:val="00DD193C"/>
    <w:rsid w:val="00DD34F6"/>
    <w:rsid w:val="00DD3AD7"/>
    <w:rsid w:val="00DD4947"/>
    <w:rsid w:val="00DD4EF1"/>
    <w:rsid w:val="00DD51BE"/>
    <w:rsid w:val="00DD541C"/>
    <w:rsid w:val="00DD5FC2"/>
    <w:rsid w:val="00DD6FE3"/>
    <w:rsid w:val="00DE0794"/>
    <w:rsid w:val="00DE099B"/>
    <w:rsid w:val="00DE0A76"/>
    <w:rsid w:val="00DE132E"/>
    <w:rsid w:val="00DE1CC9"/>
    <w:rsid w:val="00DE234B"/>
    <w:rsid w:val="00DE28E0"/>
    <w:rsid w:val="00DE2BAC"/>
    <w:rsid w:val="00DE2F70"/>
    <w:rsid w:val="00DE3667"/>
    <w:rsid w:val="00DE3BE3"/>
    <w:rsid w:val="00DE3D29"/>
    <w:rsid w:val="00DE432F"/>
    <w:rsid w:val="00DE4BE0"/>
    <w:rsid w:val="00DE4D46"/>
    <w:rsid w:val="00DE5125"/>
    <w:rsid w:val="00DE5419"/>
    <w:rsid w:val="00DE5446"/>
    <w:rsid w:val="00DE5698"/>
    <w:rsid w:val="00DE5D51"/>
    <w:rsid w:val="00DE5EA8"/>
    <w:rsid w:val="00DE6B96"/>
    <w:rsid w:val="00DF0241"/>
    <w:rsid w:val="00DF1150"/>
    <w:rsid w:val="00DF128A"/>
    <w:rsid w:val="00DF1644"/>
    <w:rsid w:val="00DF1704"/>
    <w:rsid w:val="00DF1AFC"/>
    <w:rsid w:val="00DF1C5C"/>
    <w:rsid w:val="00DF221B"/>
    <w:rsid w:val="00DF2306"/>
    <w:rsid w:val="00DF243D"/>
    <w:rsid w:val="00DF2DF8"/>
    <w:rsid w:val="00DF4C50"/>
    <w:rsid w:val="00DF57FE"/>
    <w:rsid w:val="00DF6795"/>
    <w:rsid w:val="00DF706F"/>
    <w:rsid w:val="00DF7125"/>
    <w:rsid w:val="00E001DF"/>
    <w:rsid w:val="00E00F3A"/>
    <w:rsid w:val="00E013A4"/>
    <w:rsid w:val="00E015DC"/>
    <w:rsid w:val="00E017C8"/>
    <w:rsid w:val="00E02924"/>
    <w:rsid w:val="00E02D29"/>
    <w:rsid w:val="00E030D0"/>
    <w:rsid w:val="00E032E7"/>
    <w:rsid w:val="00E034F1"/>
    <w:rsid w:val="00E035DD"/>
    <w:rsid w:val="00E03D72"/>
    <w:rsid w:val="00E04430"/>
    <w:rsid w:val="00E0454C"/>
    <w:rsid w:val="00E047B2"/>
    <w:rsid w:val="00E058A6"/>
    <w:rsid w:val="00E06148"/>
    <w:rsid w:val="00E06808"/>
    <w:rsid w:val="00E0690E"/>
    <w:rsid w:val="00E06A63"/>
    <w:rsid w:val="00E075AB"/>
    <w:rsid w:val="00E07AF5"/>
    <w:rsid w:val="00E104A4"/>
    <w:rsid w:val="00E1053F"/>
    <w:rsid w:val="00E1058D"/>
    <w:rsid w:val="00E1082E"/>
    <w:rsid w:val="00E116B2"/>
    <w:rsid w:val="00E121CF"/>
    <w:rsid w:val="00E12EA3"/>
    <w:rsid w:val="00E12F69"/>
    <w:rsid w:val="00E1330F"/>
    <w:rsid w:val="00E13C4D"/>
    <w:rsid w:val="00E14A55"/>
    <w:rsid w:val="00E14B24"/>
    <w:rsid w:val="00E14CFF"/>
    <w:rsid w:val="00E14D50"/>
    <w:rsid w:val="00E15471"/>
    <w:rsid w:val="00E15965"/>
    <w:rsid w:val="00E15A5B"/>
    <w:rsid w:val="00E1708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A14"/>
    <w:rsid w:val="00E2742F"/>
    <w:rsid w:val="00E2776C"/>
    <w:rsid w:val="00E2794B"/>
    <w:rsid w:val="00E30ADA"/>
    <w:rsid w:val="00E30DCB"/>
    <w:rsid w:val="00E3108E"/>
    <w:rsid w:val="00E32003"/>
    <w:rsid w:val="00E3230A"/>
    <w:rsid w:val="00E32338"/>
    <w:rsid w:val="00E33396"/>
    <w:rsid w:val="00E33898"/>
    <w:rsid w:val="00E34D0D"/>
    <w:rsid w:val="00E35512"/>
    <w:rsid w:val="00E35601"/>
    <w:rsid w:val="00E36CB8"/>
    <w:rsid w:val="00E37AAB"/>
    <w:rsid w:val="00E40708"/>
    <w:rsid w:val="00E4107A"/>
    <w:rsid w:val="00E41548"/>
    <w:rsid w:val="00E4193F"/>
    <w:rsid w:val="00E41EC3"/>
    <w:rsid w:val="00E42331"/>
    <w:rsid w:val="00E4269D"/>
    <w:rsid w:val="00E42827"/>
    <w:rsid w:val="00E43382"/>
    <w:rsid w:val="00E434DF"/>
    <w:rsid w:val="00E435C5"/>
    <w:rsid w:val="00E4364B"/>
    <w:rsid w:val="00E440A3"/>
    <w:rsid w:val="00E441BA"/>
    <w:rsid w:val="00E44291"/>
    <w:rsid w:val="00E443ED"/>
    <w:rsid w:val="00E45179"/>
    <w:rsid w:val="00E45E90"/>
    <w:rsid w:val="00E4644B"/>
    <w:rsid w:val="00E4654B"/>
    <w:rsid w:val="00E46D36"/>
    <w:rsid w:val="00E46F92"/>
    <w:rsid w:val="00E47319"/>
    <w:rsid w:val="00E47F26"/>
    <w:rsid w:val="00E47F29"/>
    <w:rsid w:val="00E5024E"/>
    <w:rsid w:val="00E50B75"/>
    <w:rsid w:val="00E51287"/>
    <w:rsid w:val="00E51E9F"/>
    <w:rsid w:val="00E5213C"/>
    <w:rsid w:val="00E536E1"/>
    <w:rsid w:val="00E5399B"/>
    <w:rsid w:val="00E53D1B"/>
    <w:rsid w:val="00E53F2A"/>
    <w:rsid w:val="00E545E1"/>
    <w:rsid w:val="00E54B3A"/>
    <w:rsid w:val="00E54D8A"/>
    <w:rsid w:val="00E55B23"/>
    <w:rsid w:val="00E55F30"/>
    <w:rsid w:val="00E560E1"/>
    <w:rsid w:val="00E56131"/>
    <w:rsid w:val="00E567A7"/>
    <w:rsid w:val="00E56F6F"/>
    <w:rsid w:val="00E57343"/>
    <w:rsid w:val="00E57988"/>
    <w:rsid w:val="00E6005E"/>
    <w:rsid w:val="00E60837"/>
    <w:rsid w:val="00E60E32"/>
    <w:rsid w:val="00E6106D"/>
    <w:rsid w:val="00E61E36"/>
    <w:rsid w:val="00E62B5A"/>
    <w:rsid w:val="00E62C08"/>
    <w:rsid w:val="00E62DA0"/>
    <w:rsid w:val="00E63487"/>
    <w:rsid w:val="00E6368C"/>
    <w:rsid w:val="00E6425B"/>
    <w:rsid w:val="00E64533"/>
    <w:rsid w:val="00E64ABD"/>
    <w:rsid w:val="00E654E5"/>
    <w:rsid w:val="00E65670"/>
    <w:rsid w:val="00E658D6"/>
    <w:rsid w:val="00E6677A"/>
    <w:rsid w:val="00E66862"/>
    <w:rsid w:val="00E66B28"/>
    <w:rsid w:val="00E67455"/>
    <w:rsid w:val="00E67D10"/>
    <w:rsid w:val="00E70249"/>
    <w:rsid w:val="00E7070D"/>
    <w:rsid w:val="00E70F71"/>
    <w:rsid w:val="00E71251"/>
    <w:rsid w:val="00E7153E"/>
    <w:rsid w:val="00E718D5"/>
    <w:rsid w:val="00E71C72"/>
    <w:rsid w:val="00E71E0E"/>
    <w:rsid w:val="00E71E52"/>
    <w:rsid w:val="00E728CC"/>
    <w:rsid w:val="00E72D1D"/>
    <w:rsid w:val="00E7450E"/>
    <w:rsid w:val="00E75D45"/>
    <w:rsid w:val="00E760D2"/>
    <w:rsid w:val="00E76138"/>
    <w:rsid w:val="00E77131"/>
    <w:rsid w:val="00E81521"/>
    <w:rsid w:val="00E81E17"/>
    <w:rsid w:val="00E81EE9"/>
    <w:rsid w:val="00E82C18"/>
    <w:rsid w:val="00E82EBA"/>
    <w:rsid w:val="00E82F81"/>
    <w:rsid w:val="00E83D01"/>
    <w:rsid w:val="00E83DB4"/>
    <w:rsid w:val="00E8425A"/>
    <w:rsid w:val="00E84C44"/>
    <w:rsid w:val="00E85B76"/>
    <w:rsid w:val="00E85CF7"/>
    <w:rsid w:val="00E8612D"/>
    <w:rsid w:val="00E87526"/>
    <w:rsid w:val="00E879BA"/>
    <w:rsid w:val="00E87B16"/>
    <w:rsid w:val="00E87E02"/>
    <w:rsid w:val="00E9039C"/>
    <w:rsid w:val="00E90D4D"/>
    <w:rsid w:val="00E91619"/>
    <w:rsid w:val="00E921C4"/>
    <w:rsid w:val="00E92758"/>
    <w:rsid w:val="00E93BBD"/>
    <w:rsid w:val="00E940BC"/>
    <w:rsid w:val="00E94EE3"/>
    <w:rsid w:val="00E95501"/>
    <w:rsid w:val="00E95587"/>
    <w:rsid w:val="00E96059"/>
    <w:rsid w:val="00E96CD1"/>
    <w:rsid w:val="00E96E05"/>
    <w:rsid w:val="00E9799C"/>
    <w:rsid w:val="00EA0C90"/>
    <w:rsid w:val="00EA0DAE"/>
    <w:rsid w:val="00EA1399"/>
    <w:rsid w:val="00EA1B31"/>
    <w:rsid w:val="00EA2056"/>
    <w:rsid w:val="00EA2277"/>
    <w:rsid w:val="00EA23A6"/>
    <w:rsid w:val="00EA2A47"/>
    <w:rsid w:val="00EA3EF0"/>
    <w:rsid w:val="00EA3F66"/>
    <w:rsid w:val="00EA3FB3"/>
    <w:rsid w:val="00EA4861"/>
    <w:rsid w:val="00EA6C22"/>
    <w:rsid w:val="00EA6FAE"/>
    <w:rsid w:val="00EA70EA"/>
    <w:rsid w:val="00EA7763"/>
    <w:rsid w:val="00EA7981"/>
    <w:rsid w:val="00EB01D0"/>
    <w:rsid w:val="00EB05A1"/>
    <w:rsid w:val="00EB16E0"/>
    <w:rsid w:val="00EB178F"/>
    <w:rsid w:val="00EB18C6"/>
    <w:rsid w:val="00EB1E19"/>
    <w:rsid w:val="00EB2156"/>
    <w:rsid w:val="00EB21FE"/>
    <w:rsid w:val="00EB2957"/>
    <w:rsid w:val="00EB2961"/>
    <w:rsid w:val="00EB2F84"/>
    <w:rsid w:val="00EB3535"/>
    <w:rsid w:val="00EB353F"/>
    <w:rsid w:val="00EB3674"/>
    <w:rsid w:val="00EB3847"/>
    <w:rsid w:val="00EB3A08"/>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2FAD"/>
    <w:rsid w:val="00EC48EC"/>
    <w:rsid w:val="00EC4F4D"/>
    <w:rsid w:val="00EC54AF"/>
    <w:rsid w:val="00EC597B"/>
    <w:rsid w:val="00EC5AC6"/>
    <w:rsid w:val="00EC6136"/>
    <w:rsid w:val="00EC7250"/>
    <w:rsid w:val="00EC7630"/>
    <w:rsid w:val="00ED0525"/>
    <w:rsid w:val="00ED1673"/>
    <w:rsid w:val="00ED1879"/>
    <w:rsid w:val="00ED1A94"/>
    <w:rsid w:val="00ED2220"/>
    <w:rsid w:val="00ED23BC"/>
    <w:rsid w:val="00ED283E"/>
    <w:rsid w:val="00ED31FF"/>
    <w:rsid w:val="00ED363C"/>
    <w:rsid w:val="00ED4850"/>
    <w:rsid w:val="00ED48E9"/>
    <w:rsid w:val="00ED4B61"/>
    <w:rsid w:val="00ED5420"/>
    <w:rsid w:val="00ED626A"/>
    <w:rsid w:val="00ED68A8"/>
    <w:rsid w:val="00ED6E97"/>
    <w:rsid w:val="00ED732E"/>
    <w:rsid w:val="00ED770C"/>
    <w:rsid w:val="00ED7EC8"/>
    <w:rsid w:val="00EE059C"/>
    <w:rsid w:val="00EE06B9"/>
    <w:rsid w:val="00EE0BEF"/>
    <w:rsid w:val="00EE0F19"/>
    <w:rsid w:val="00EE1061"/>
    <w:rsid w:val="00EE27CF"/>
    <w:rsid w:val="00EE3084"/>
    <w:rsid w:val="00EE3F39"/>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27C"/>
    <w:rsid w:val="00EF13E2"/>
    <w:rsid w:val="00EF16C4"/>
    <w:rsid w:val="00EF1B06"/>
    <w:rsid w:val="00EF20EF"/>
    <w:rsid w:val="00EF22C6"/>
    <w:rsid w:val="00EF2309"/>
    <w:rsid w:val="00EF331F"/>
    <w:rsid w:val="00EF3893"/>
    <w:rsid w:val="00EF3E0D"/>
    <w:rsid w:val="00EF4901"/>
    <w:rsid w:val="00EF4E51"/>
    <w:rsid w:val="00EF575C"/>
    <w:rsid w:val="00EF5A99"/>
    <w:rsid w:val="00EF622C"/>
    <w:rsid w:val="00EF6241"/>
    <w:rsid w:val="00EF6A1B"/>
    <w:rsid w:val="00EF6B92"/>
    <w:rsid w:val="00EF6D7A"/>
    <w:rsid w:val="00EF791E"/>
    <w:rsid w:val="00EF7CB7"/>
    <w:rsid w:val="00F0049D"/>
    <w:rsid w:val="00F00915"/>
    <w:rsid w:val="00F00CD4"/>
    <w:rsid w:val="00F016D4"/>
    <w:rsid w:val="00F01F38"/>
    <w:rsid w:val="00F02E30"/>
    <w:rsid w:val="00F0300A"/>
    <w:rsid w:val="00F04D76"/>
    <w:rsid w:val="00F050D6"/>
    <w:rsid w:val="00F0537D"/>
    <w:rsid w:val="00F05A89"/>
    <w:rsid w:val="00F0697B"/>
    <w:rsid w:val="00F06D8F"/>
    <w:rsid w:val="00F1012A"/>
    <w:rsid w:val="00F101D5"/>
    <w:rsid w:val="00F10D31"/>
    <w:rsid w:val="00F11140"/>
    <w:rsid w:val="00F11475"/>
    <w:rsid w:val="00F1149E"/>
    <w:rsid w:val="00F11DE1"/>
    <w:rsid w:val="00F132F5"/>
    <w:rsid w:val="00F13C7F"/>
    <w:rsid w:val="00F14B55"/>
    <w:rsid w:val="00F15066"/>
    <w:rsid w:val="00F151D3"/>
    <w:rsid w:val="00F15327"/>
    <w:rsid w:val="00F15AA4"/>
    <w:rsid w:val="00F15CF9"/>
    <w:rsid w:val="00F15F74"/>
    <w:rsid w:val="00F167A3"/>
    <w:rsid w:val="00F1714B"/>
    <w:rsid w:val="00F1717C"/>
    <w:rsid w:val="00F176A6"/>
    <w:rsid w:val="00F17CCD"/>
    <w:rsid w:val="00F17E00"/>
    <w:rsid w:val="00F205B9"/>
    <w:rsid w:val="00F205C9"/>
    <w:rsid w:val="00F2089E"/>
    <w:rsid w:val="00F22098"/>
    <w:rsid w:val="00F236E6"/>
    <w:rsid w:val="00F24283"/>
    <w:rsid w:val="00F2478B"/>
    <w:rsid w:val="00F25D98"/>
    <w:rsid w:val="00F25EFB"/>
    <w:rsid w:val="00F2635D"/>
    <w:rsid w:val="00F26384"/>
    <w:rsid w:val="00F263FF"/>
    <w:rsid w:val="00F2650A"/>
    <w:rsid w:val="00F26756"/>
    <w:rsid w:val="00F26CF2"/>
    <w:rsid w:val="00F26F8E"/>
    <w:rsid w:val="00F26F9F"/>
    <w:rsid w:val="00F2765F"/>
    <w:rsid w:val="00F27768"/>
    <w:rsid w:val="00F27AF4"/>
    <w:rsid w:val="00F27E86"/>
    <w:rsid w:val="00F300FB"/>
    <w:rsid w:val="00F30B59"/>
    <w:rsid w:val="00F31EF1"/>
    <w:rsid w:val="00F32195"/>
    <w:rsid w:val="00F331E4"/>
    <w:rsid w:val="00F340CF"/>
    <w:rsid w:val="00F34766"/>
    <w:rsid w:val="00F34C02"/>
    <w:rsid w:val="00F34F6C"/>
    <w:rsid w:val="00F34FA5"/>
    <w:rsid w:val="00F35402"/>
    <w:rsid w:val="00F3566C"/>
    <w:rsid w:val="00F35765"/>
    <w:rsid w:val="00F35B37"/>
    <w:rsid w:val="00F35C06"/>
    <w:rsid w:val="00F35F53"/>
    <w:rsid w:val="00F361C2"/>
    <w:rsid w:val="00F37603"/>
    <w:rsid w:val="00F37DDE"/>
    <w:rsid w:val="00F402DD"/>
    <w:rsid w:val="00F40314"/>
    <w:rsid w:val="00F4046F"/>
    <w:rsid w:val="00F40D53"/>
    <w:rsid w:val="00F41421"/>
    <w:rsid w:val="00F41744"/>
    <w:rsid w:val="00F41D3F"/>
    <w:rsid w:val="00F42EB6"/>
    <w:rsid w:val="00F42FB7"/>
    <w:rsid w:val="00F4311D"/>
    <w:rsid w:val="00F4399E"/>
    <w:rsid w:val="00F44DCD"/>
    <w:rsid w:val="00F45E15"/>
    <w:rsid w:val="00F471F3"/>
    <w:rsid w:val="00F475F5"/>
    <w:rsid w:val="00F47A1B"/>
    <w:rsid w:val="00F47ED3"/>
    <w:rsid w:val="00F50199"/>
    <w:rsid w:val="00F505FE"/>
    <w:rsid w:val="00F51B0E"/>
    <w:rsid w:val="00F51C87"/>
    <w:rsid w:val="00F51D5F"/>
    <w:rsid w:val="00F52478"/>
    <w:rsid w:val="00F528BA"/>
    <w:rsid w:val="00F52B90"/>
    <w:rsid w:val="00F52EA9"/>
    <w:rsid w:val="00F530D7"/>
    <w:rsid w:val="00F53777"/>
    <w:rsid w:val="00F54037"/>
    <w:rsid w:val="00F5465B"/>
    <w:rsid w:val="00F54927"/>
    <w:rsid w:val="00F55AB9"/>
    <w:rsid w:val="00F55E10"/>
    <w:rsid w:val="00F56263"/>
    <w:rsid w:val="00F562D7"/>
    <w:rsid w:val="00F56438"/>
    <w:rsid w:val="00F56C60"/>
    <w:rsid w:val="00F6065E"/>
    <w:rsid w:val="00F60B0F"/>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215"/>
    <w:rsid w:val="00F71383"/>
    <w:rsid w:val="00F7161B"/>
    <w:rsid w:val="00F7168B"/>
    <w:rsid w:val="00F71FD4"/>
    <w:rsid w:val="00F728CB"/>
    <w:rsid w:val="00F72B7F"/>
    <w:rsid w:val="00F72B80"/>
    <w:rsid w:val="00F746D7"/>
    <w:rsid w:val="00F74ED7"/>
    <w:rsid w:val="00F7597C"/>
    <w:rsid w:val="00F75AC0"/>
    <w:rsid w:val="00F76A56"/>
    <w:rsid w:val="00F77C16"/>
    <w:rsid w:val="00F80687"/>
    <w:rsid w:val="00F81268"/>
    <w:rsid w:val="00F815E3"/>
    <w:rsid w:val="00F81DED"/>
    <w:rsid w:val="00F81F1D"/>
    <w:rsid w:val="00F8255C"/>
    <w:rsid w:val="00F830FB"/>
    <w:rsid w:val="00F8323F"/>
    <w:rsid w:val="00F8373D"/>
    <w:rsid w:val="00F83C67"/>
    <w:rsid w:val="00F83FD1"/>
    <w:rsid w:val="00F84150"/>
    <w:rsid w:val="00F845F1"/>
    <w:rsid w:val="00F84838"/>
    <w:rsid w:val="00F84B1C"/>
    <w:rsid w:val="00F84B3A"/>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6"/>
    <w:rsid w:val="00F915EB"/>
    <w:rsid w:val="00F91F4C"/>
    <w:rsid w:val="00F929B5"/>
    <w:rsid w:val="00F9387B"/>
    <w:rsid w:val="00F93917"/>
    <w:rsid w:val="00F944F1"/>
    <w:rsid w:val="00F9457B"/>
    <w:rsid w:val="00F94BD8"/>
    <w:rsid w:val="00F95226"/>
    <w:rsid w:val="00F96980"/>
    <w:rsid w:val="00F96B19"/>
    <w:rsid w:val="00F9705F"/>
    <w:rsid w:val="00F973A1"/>
    <w:rsid w:val="00F97BF3"/>
    <w:rsid w:val="00F97C1E"/>
    <w:rsid w:val="00FA0FD1"/>
    <w:rsid w:val="00FA17DF"/>
    <w:rsid w:val="00FA1F18"/>
    <w:rsid w:val="00FA213D"/>
    <w:rsid w:val="00FA2B35"/>
    <w:rsid w:val="00FA2EE3"/>
    <w:rsid w:val="00FA30EB"/>
    <w:rsid w:val="00FA317A"/>
    <w:rsid w:val="00FA3F03"/>
    <w:rsid w:val="00FA448C"/>
    <w:rsid w:val="00FA46D7"/>
    <w:rsid w:val="00FA4D33"/>
    <w:rsid w:val="00FA4E2F"/>
    <w:rsid w:val="00FA502E"/>
    <w:rsid w:val="00FA5278"/>
    <w:rsid w:val="00FA529A"/>
    <w:rsid w:val="00FA5758"/>
    <w:rsid w:val="00FA5E92"/>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5EC"/>
    <w:rsid w:val="00FB3980"/>
    <w:rsid w:val="00FB40A0"/>
    <w:rsid w:val="00FB4F43"/>
    <w:rsid w:val="00FB53EF"/>
    <w:rsid w:val="00FB581A"/>
    <w:rsid w:val="00FB5B06"/>
    <w:rsid w:val="00FB5ED4"/>
    <w:rsid w:val="00FB6386"/>
    <w:rsid w:val="00FB663D"/>
    <w:rsid w:val="00FB6F7F"/>
    <w:rsid w:val="00FB7924"/>
    <w:rsid w:val="00FB794B"/>
    <w:rsid w:val="00FC0A04"/>
    <w:rsid w:val="00FC0A48"/>
    <w:rsid w:val="00FC0AEF"/>
    <w:rsid w:val="00FC0BF3"/>
    <w:rsid w:val="00FC0FA4"/>
    <w:rsid w:val="00FC1230"/>
    <w:rsid w:val="00FC154A"/>
    <w:rsid w:val="00FC2581"/>
    <w:rsid w:val="00FC39C2"/>
    <w:rsid w:val="00FC39E2"/>
    <w:rsid w:val="00FC3B57"/>
    <w:rsid w:val="00FC44AB"/>
    <w:rsid w:val="00FC4836"/>
    <w:rsid w:val="00FC4B13"/>
    <w:rsid w:val="00FC4B17"/>
    <w:rsid w:val="00FC4B48"/>
    <w:rsid w:val="00FC4B95"/>
    <w:rsid w:val="00FC4CB2"/>
    <w:rsid w:val="00FC4FB9"/>
    <w:rsid w:val="00FC52BF"/>
    <w:rsid w:val="00FC5A1C"/>
    <w:rsid w:val="00FC6927"/>
    <w:rsid w:val="00FC6AE2"/>
    <w:rsid w:val="00FC701C"/>
    <w:rsid w:val="00FC7289"/>
    <w:rsid w:val="00FC72E6"/>
    <w:rsid w:val="00FC7938"/>
    <w:rsid w:val="00FC7B18"/>
    <w:rsid w:val="00FD0DAB"/>
    <w:rsid w:val="00FD0F41"/>
    <w:rsid w:val="00FD1DB9"/>
    <w:rsid w:val="00FD25C7"/>
    <w:rsid w:val="00FD2825"/>
    <w:rsid w:val="00FD2838"/>
    <w:rsid w:val="00FD2CF1"/>
    <w:rsid w:val="00FD3082"/>
    <w:rsid w:val="00FD322F"/>
    <w:rsid w:val="00FD5002"/>
    <w:rsid w:val="00FD527B"/>
    <w:rsid w:val="00FD5316"/>
    <w:rsid w:val="00FD5669"/>
    <w:rsid w:val="00FD567F"/>
    <w:rsid w:val="00FD5CD7"/>
    <w:rsid w:val="00FE0604"/>
    <w:rsid w:val="00FE1078"/>
    <w:rsid w:val="00FE2716"/>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D60"/>
    <w:rsid w:val="00FF2FA1"/>
    <w:rsid w:val="00FF384F"/>
    <w:rsid w:val="00FF3AF6"/>
    <w:rsid w:val="00FF47A3"/>
    <w:rsid w:val="00FF4C0D"/>
    <w:rsid w:val="00FF4D6C"/>
    <w:rsid w:val="00FF538A"/>
    <w:rsid w:val="00FF54F2"/>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qFormat/>
    <w:rsid w:val="00FA6DD2"/>
    <w:rPr>
      <w:sz w:val="16"/>
    </w:rPr>
  </w:style>
  <w:style w:type="paragraph" w:styleId="CommentText">
    <w:name w:val="annotation text"/>
    <w:basedOn w:val="Normal"/>
    <w:link w:val="CommentTextChar"/>
    <w:uiPriority w:val="99"/>
    <w:semiHidden/>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List Paragraph - Bullets,- Bullets,参考文献,符号列表,·ûºÅÁÐ±í,¡¤?o?¨¢D¡À¨ª,?¡è?o?¡§¡éD?¨¤¡§a,??¨¨?o??¡ì?¨¦D?¡§¡è?¡ìa,??¡§¡§?o???¨¬?¡§|D??¡ì?¨¨??¨¬a,???¡ì?¡ì?o???¡§???¡ì|D???¨¬?¡§¡§??¡§?a,????¨¬??¨¬?o????¡ì????¨¬|D???¡§???¡ì?¡ì???¡ì?a,?,lp1,목록 단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link w:val="ProposalChar"/>
    <w:qFormat/>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List Paragraph - Bullets Char,- Bullets Char,参考文献 Char,符号列表 Char,·ûºÅÁÐ±í Char,¡¤?o?¨¢D¡À¨ª Char,?¡è?o?¡§¡éD?¨¤¡§a Char,??¨¨?o??¡ì?¨¦D?¡§¡è?¡ìa Char,??¡§¡§?o???¨¬?¡§|D??¡ì?¨¨??¨¬a Char,???¡ì?¡ì?o???¡§???¡ì|D???¨¬?¡§¡§??¡§?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qFormat/>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unhideWhenUsed/>
    <w:rsid w:val="00F74ED7"/>
    <w:pPr>
      <w:spacing w:after="120"/>
    </w:pPr>
  </w:style>
  <w:style w:type="character" w:customStyle="1" w:styleId="BodyTextChar">
    <w:name w:val="Body Text Char"/>
    <w:basedOn w:val="DefaultParagraphFont"/>
    <w:link w:val="BodyText"/>
    <w:rsid w:val="00F74ED7"/>
    <w:rPr>
      <w:rFonts w:ascii="Times New Roman" w:hAnsi="Times New Roman"/>
      <w:lang w:val="en-GB" w:eastAsia="en-US"/>
    </w:rPr>
  </w:style>
  <w:style w:type="character" w:customStyle="1" w:styleId="ProposalChar">
    <w:name w:val="Proposal Char"/>
    <w:link w:val="Proposal"/>
    <w:qFormat/>
    <w:locked/>
    <w:rsid w:val="00F74ED7"/>
    <w:rPr>
      <w:rFonts w:ascii="Arial" w:eastAsia="Times New Roman" w:hAnsi="Arial"/>
      <w:b/>
      <w:bCs/>
      <w:lang w:val="en-GB" w:eastAsia="zh-CN"/>
    </w:rPr>
  </w:style>
  <w:style w:type="paragraph" w:customStyle="1" w:styleId="Default">
    <w:name w:val="Default"/>
    <w:rsid w:val="00A74894"/>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132">
      <w:bodyDiv w:val="1"/>
      <w:marLeft w:val="0"/>
      <w:marRight w:val="0"/>
      <w:marTop w:val="0"/>
      <w:marBottom w:val="0"/>
      <w:divBdr>
        <w:top w:val="none" w:sz="0" w:space="0" w:color="auto"/>
        <w:left w:val="none" w:sz="0" w:space="0" w:color="auto"/>
        <w:bottom w:val="none" w:sz="0" w:space="0" w:color="auto"/>
        <w:right w:val="none" w:sz="0" w:space="0" w:color="auto"/>
      </w:divBdr>
    </w:div>
    <w:div w:id="4794088">
      <w:bodyDiv w:val="1"/>
      <w:marLeft w:val="0"/>
      <w:marRight w:val="0"/>
      <w:marTop w:val="0"/>
      <w:marBottom w:val="0"/>
      <w:divBdr>
        <w:top w:val="none" w:sz="0" w:space="0" w:color="auto"/>
        <w:left w:val="none" w:sz="0" w:space="0" w:color="auto"/>
        <w:bottom w:val="none" w:sz="0" w:space="0" w:color="auto"/>
        <w:right w:val="none" w:sz="0" w:space="0" w:color="auto"/>
      </w:divBdr>
    </w:div>
    <w:div w:id="5452042">
      <w:bodyDiv w:val="1"/>
      <w:marLeft w:val="0"/>
      <w:marRight w:val="0"/>
      <w:marTop w:val="0"/>
      <w:marBottom w:val="0"/>
      <w:divBdr>
        <w:top w:val="none" w:sz="0" w:space="0" w:color="auto"/>
        <w:left w:val="none" w:sz="0" w:space="0" w:color="auto"/>
        <w:bottom w:val="none" w:sz="0" w:space="0" w:color="auto"/>
        <w:right w:val="none" w:sz="0" w:space="0" w:color="auto"/>
      </w:divBdr>
    </w:div>
    <w:div w:id="18092354">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22219297">
      <w:bodyDiv w:val="1"/>
      <w:marLeft w:val="0"/>
      <w:marRight w:val="0"/>
      <w:marTop w:val="0"/>
      <w:marBottom w:val="0"/>
      <w:divBdr>
        <w:top w:val="none" w:sz="0" w:space="0" w:color="auto"/>
        <w:left w:val="none" w:sz="0" w:space="0" w:color="auto"/>
        <w:bottom w:val="none" w:sz="0" w:space="0" w:color="auto"/>
        <w:right w:val="none" w:sz="0" w:space="0" w:color="auto"/>
      </w:divBdr>
    </w:div>
    <w:div w:id="29113043">
      <w:bodyDiv w:val="1"/>
      <w:marLeft w:val="0"/>
      <w:marRight w:val="0"/>
      <w:marTop w:val="0"/>
      <w:marBottom w:val="0"/>
      <w:divBdr>
        <w:top w:val="none" w:sz="0" w:space="0" w:color="auto"/>
        <w:left w:val="none" w:sz="0" w:space="0" w:color="auto"/>
        <w:bottom w:val="none" w:sz="0" w:space="0" w:color="auto"/>
        <w:right w:val="none" w:sz="0" w:space="0" w:color="auto"/>
      </w:divBdr>
    </w:div>
    <w:div w:id="3555085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8407813">
      <w:bodyDiv w:val="1"/>
      <w:marLeft w:val="0"/>
      <w:marRight w:val="0"/>
      <w:marTop w:val="0"/>
      <w:marBottom w:val="0"/>
      <w:divBdr>
        <w:top w:val="none" w:sz="0" w:space="0" w:color="auto"/>
        <w:left w:val="none" w:sz="0" w:space="0" w:color="auto"/>
        <w:bottom w:val="none" w:sz="0" w:space="0" w:color="auto"/>
        <w:right w:val="none" w:sz="0" w:space="0" w:color="auto"/>
      </w:divBdr>
    </w:div>
    <w:div w:id="62070993">
      <w:bodyDiv w:val="1"/>
      <w:marLeft w:val="0"/>
      <w:marRight w:val="0"/>
      <w:marTop w:val="0"/>
      <w:marBottom w:val="0"/>
      <w:divBdr>
        <w:top w:val="none" w:sz="0" w:space="0" w:color="auto"/>
        <w:left w:val="none" w:sz="0" w:space="0" w:color="auto"/>
        <w:bottom w:val="none" w:sz="0" w:space="0" w:color="auto"/>
        <w:right w:val="none" w:sz="0" w:space="0" w:color="auto"/>
      </w:divBdr>
    </w:div>
    <w:div w:id="79907487">
      <w:bodyDiv w:val="1"/>
      <w:marLeft w:val="0"/>
      <w:marRight w:val="0"/>
      <w:marTop w:val="0"/>
      <w:marBottom w:val="0"/>
      <w:divBdr>
        <w:top w:val="none" w:sz="0" w:space="0" w:color="auto"/>
        <w:left w:val="none" w:sz="0" w:space="0" w:color="auto"/>
        <w:bottom w:val="none" w:sz="0" w:space="0" w:color="auto"/>
        <w:right w:val="none" w:sz="0" w:space="0" w:color="auto"/>
      </w:divBdr>
    </w:div>
    <w:div w:id="83192535">
      <w:bodyDiv w:val="1"/>
      <w:marLeft w:val="0"/>
      <w:marRight w:val="0"/>
      <w:marTop w:val="0"/>
      <w:marBottom w:val="0"/>
      <w:divBdr>
        <w:top w:val="none" w:sz="0" w:space="0" w:color="auto"/>
        <w:left w:val="none" w:sz="0" w:space="0" w:color="auto"/>
        <w:bottom w:val="none" w:sz="0" w:space="0" w:color="auto"/>
        <w:right w:val="none" w:sz="0" w:space="0" w:color="auto"/>
      </w:divBdr>
    </w:div>
    <w:div w:id="91050127">
      <w:bodyDiv w:val="1"/>
      <w:marLeft w:val="0"/>
      <w:marRight w:val="0"/>
      <w:marTop w:val="0"/>
      <w:marBottom w:val="0"/>
      <w:divBdr>
        <w:top w:val="none" w:sz="0" w:space="0" w:color="auto"/>
        <w:left w:val="none" w:sz="0" w:space="0" w:color="auto"/>
        <w:bottom w:val="none" w:sz="0" w:space="0" w:color="auto"/>
        <w:right w:val="none" w:sz="0" w:space="0" w:color="auto"/>
      </w:divBdr>
    </w:div>
    <w:div w:id="110247567">
      <w:bodyDiv w:val="1"/>
      <w:marLeft w:val="0"/>
      <w:marRight w:val="0"/>
      <w:marTop w:val="0"/>
      <w:marBottom w:val="0"/>
      <w:divBdr>
        <w:top w:val="none" w:sz="0" w:space="0" w:color="auto"/>
        <w:left w:val="none" w:sz="0" w:space="0" w:color="auto"/>
        <w:bottom w:val="none" w:sz="0" w:space="0" w:color="auto"/>
        <w:right w:val="none" w:sz="0" w:space="0" w:color="auto"/>
      </w:divBdr>
    </w:div>
    <w:div w:id="111675503">
      <w:bodyDiv w:val="1"/>
      <w:marLeft w:val="0"/>
      <w:marRight w:val="0"/>
      <w:marTop w:val="0"/>
      <w:marBottom w:val="0"/>
      <w:divBdr>
        <w:top w:val="none" w:sz="0" w:space="0" w:color="auto"/>
        <w:left w:val="none" w:sz="0" w:space="0" w:color="auto"/>
        <w:bottom w:val="none" w:sz="0" w:space="0" w:color="auto"/>
        <w:right w:val="none" w:sz="0" w:space="0" w:color="auto"/>
      </w:divBdr>
    </w:div>
    <w:div w:id="113210739">
      <w:bodyDiv w:val="1"/>
      <w:marLeft w:val="0"/>
      <w:marRight w:val="0"/>
      <w:marTop w:val="0"/>
      <w:marBottom w:val="0"/>
      <w:divBdr>
        <w:top w:val="none" w:sz="0" w:space="0" w:color="auto"/>
        <w:left w:val="none" w:sz="0" w:space="0" w:color="auto"/>
        <w:bottom w:val="none" w:sz="0" w:space="0" w:color="auto"/>
        <w:right w:val="none" w:sz="0" w:space="0" w:color="auto"/>
      </w:divBdr>
    </w:div>
    <w:div w:id="123736410">
      <w:bodyDiv w:val="1"/>
      <w:marLeft w:val="0"/>
      <w:marRight w:val="0"/>
      <w:marTop w:val="0"/>
      <w:marBottom w:val="0"/>
      <w:divBdr>
        <w:top w:val="none" w:sz="0" w:space="0" w:color="auto"/>
        <w:left w:val="none" w:sz="0" w:space="0" w:color="auto"/>
        <w:bottom w:val="none" w:sz="0" w:space="0" w:color="auto"/>
        <w:right w:val="none" w:sz="0" w:space="0" w:color="auto"/>
      </w:divBdr>
    </w:div>
    <w:div w:id="137452880">
      <w:bodyDiv w:val="1"/>
      <w:marLeft w:val="0"/>
      <w:marRight w:val="0"/>
      <w:marTop w:val="0"/>
      <w:marBottom w:val="0"/>
      <w:divBdr>
        <w:top w:val="none" w:sz="0" w:space="0" w:color="auto"/>
        <w:left w:val="none" w:sz="0" w:space="0" w:color="auto"/>
        <w:bottom w:val="none" w:sz="0" w:space="0" w:color="auto"/>
        <w:right w:val="none" w:sz="0" w:space="0" w:color="auto"/>
      </w:divBdr>
    </w:div>
    <w:div w:id="139539930">
      <w:bodyDiv w:val="1"/>
      <w:marLeft w:val="0"/>
      <w:marRight w:val="0"/>
      <w:marTop w:val="0"/>
      <w:marBottom w:val="0"/>
      <w:divBdr>
        <w:top w:val="none" w:sz="0" w:space="0" w:color="auto"/>
        <w:left w:val="none" w:sz="0" w:space="0" w:color="auto"/>
        <w:bottom w:val="none" w:sz="0" w:space="0" w:color="auto"/>
        <w:right w:val="none" w:sz="0" w:space="0" w:color="auto"/>
      </w:divBdr>
    </w:div>
    <w:div w:id="142622987">
      <w:bodyDiv w:val="1"/>
      <w:marLeft w:val="0"/>
      <w:marRight w:val="0"/>
      <w:marTop w:val="0"/>
      <w:marBottom w:val="0"/>
      <w:divBdr>
        <w:top w:val="none" w:sz="0" w:space="0" w:color="auto"/>
        <w:left w:val="none" w:sz="0" w:space="0" w:color="auto"/>
        <w:bottom w:val="none" w:sz="0" w:space="0" w:color="auto"/>
        <w:right w:val="none" w:sz="0" w:space="0" w:color="auto"/>
      </w:divBdr>
    </w:div>
    <w:div w:id="150945034">
      <w:bodyDiv w:val="1"/>
      <w:marLeft w:val="0"/>
      <w:marRight w:val="0"/>
      <w:marTop w:val="0"/>
      <w:marBottom w:val="0"/>
      <w:divBdr>
        <w:top w:val="none" w:sz="0" w:space="0" w:color="auto"/>
        <w:left w:val="none" w:sz="0" w:space="0" w:color="auto"/>
        <w:bottom w:val="none" w:sz="0" w:space="0" w:color="auto"/>
        <w:right w:val="none" w:sz="0" w:space="0" w:color="auto"/>
      </w:divBdr>
    </w:div>
    <w:div w:id="152113937">
      <w:bodyDiv w:val="1"/>
      <w:marLeft w:val="0"/>
      <w:marRight w:val="0"/>
      <w:marTop w:val="0"/>
      <w:marBottom w:val="0"/>
      <w:divBdr>
        <w:top w:val="none" w:sz="0" w:space="0" w:color="auto"/>
        <w:left w:val="none" w:sz="0" w:space="0" w:color="auto"/>
        <w:bottom w:val="none" w:sz="0" w:space="0" w:color="auto"/>
        <w:right w:val="none" w:sz="0" w:space="0" w:color="auto"/>
      </w:divBdr>
    </w:div>
    <w:div w:id="155221697">
      <w:bodyDiv w:val="1"/>
      <w:marLeft w:val="0"/>
      <w:marRight w:val="0"/>
      <w:marTop w:val="0"/>
      <w:marBottom w:val="0"/>
      <w:divBdr>
        <w:top w:val="none" w:sz="0" w:space="0" w:color="auto"/>
        <w:left w:val="none" w:sz="0" w:space="0" w:color="auto"/>
        <w:bottom w:val="none" w:sz="0" w:space="0" w:color="auto"/>
        <w:right w:val="none" w:sz="0" w:space="0" w:color="auto"/>
      </w:divBdr>
    </w:div>
    <w:div w:id="161700372">
      <w:bodyDiv w:val="1"/>
      <w:marLeft w:val="0"/>
      <w:marRight w:val="0"/>
      <w:marTop w:val="0"/>
      <w:marBottom w:val="0"/>
      <w:divBdr>
        <w:top w:val="none" w:sz="0" w:space="0" w:color="auto"/>
        <w:left w:val="none" w:sz="0" w:space="0" w:color="auto"/>
        <w:bottom w:val="none" w:sz="0" w:space="0" w:color="auto"/>
        <w:right w:val="none" w:sz="0" w:space="0" w:color="auto"/>
      </w:divBdr>
    </w:div>
    <w:div w:id="166941901">
      <w:bodyDiv w:val="1"/>
      <w:marLeft w:val="0"/>
      <w:marRight w:val="0"/>
      <w:marTop w:val="0"/>
      <w:marBottom w:val="0"/>
      <w:divBdr>
        <w:top w:val="none" w:sz="0" w:space="0" w:color="auto"/>
        <w:left w:val="none" w:sz="0" w:space="0" w:color="auto"/>
        <w:bottom w:val="none" w:sz="0" w:space="0" w:color="auto"/>
        <w:right w:val="none" w:sz="0" w:space="0" w:color="auto"/>
      </w:divBdr>
    </w:div>
    <w:div w:id="167522838">
      <w:bodyDiv w:val="1"/>
      <w:marLeft w:val="0"/>
      <w:marRight w:val="0"/>
      <w:marTop w:val="0"/>
      <w:marBottom w:val="0"/>
      <w:divBdr>
        <w:top w:val="none" w:sz="0" w:space="0" w:color="auto"/>
        <w:left w:val="none" w:sz="0" w:space="0" w:color="auto"/>
        <w:bottom w:val="none" w:sz="0" w:space="0" w:color="auto"/>
        <w:right w:val="none" w:sz="0" w:space="0" w:color="auto"/>
      </w:divBdr>
    </w:div>
    <w:div w:id="171648236">
      <w:bodyDiv w:val="1"/>
      <w:marLeft w:val="0"/>
      <w:marRight w:val="0"/>
      <w:marTop w:val="0"/>
      <w:marBottom w:val="0"/>
      <w:divBdr>
        <w:top w:val="none" w:sz="0" w:space="0" w:color="auto"/>
        <w:left w:val="none" w:sz="0" w:space="0" w:color="auto"/>
        <w:bottom w:val="none" w:sz="0" w:space="0" w:color="auto"/>
        <w:right w:val="none" w:sz="0" w:space="0" w:color="auto"/>
      </w:divBdr>
    </w:div>
    <w:div w:id="17788657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89758498">
      <w:bodyDiv w:val="1"/>
      <w:marLeft w:val="0"/>
      <w:marRight w:val="0"/>
      <w:marTop w:val="0"/>
      <w:marBottom w:val="0"/>
      <w:divBdr>
        <w:top w:val="none" w:sz="0" w:space="0" w:color="auto"/>
        <w:left w:val="none" w:sz="0" w:space="0" w:color="auto"/>
        <w:bottom w:val="none" w:sz="0" w:space="0" w:color="auto"/>
        <w:right w:val="none" w:sz="0" w:space="0" w:color="auto"/>
      </w:divBdr>
    </w:div>
    <w:div w:id="194928812">
      <w:bodyDiv w:val="1"/>
      <w:marLeft w:val="0"/>
      <w:marRight w:val="0"/>
      <w:marTop w:val="0"/>
      <w:marBottom w:val="0"/>
      <w:divBdr>
        <w:top w:val="none" w:sz="0" w:space="0" w:color="auto"/>
        <w:left w:val="none" w:sz="0" w:space="0" w:color="auto"/>
        <w:bottom w:val="none" w:sz="0" w:space="0" w:color="auto"/>
        <w:right w:val="none" w:sz="0" w:space="0" w:color="auto"/>
      </w:divBdr>
    </w:div>
    <w:div w:id="195974043">
      <w:bodyDiv w:val="1"/>
      <w:marLeft w:val="0"/>
      <w:marRight w:val="0"/>
      <w:marTop w:val="0"/>
      <w:marBottom w:val="0"/>
      <w:divBdr>
        <w:top w:val="none" w:sz="0" w:space="0" w:color="auto"/>
        <w:left w:val="none" w:sz="0" w:space="0" w:color="auto"/>
        <w:bottom w:val="none" w:sz="0" w:space="0" w:color="auto"/>
        <w:right w:val="none" w:sz="0" w:space="0" w:color="auto"/>
      </w:divBdr>
    </w:div>
    <w:div w:id="197475592">
      <w:bodyDiv w:val="1"/>
      <w:marLeft w:val="0"/>
      <w:marRight w:val="0"/>
      <w:marTop w:val="0"/>
      <w:marBottom w:val="0"/>
      <w:divBdr>
        <w:top w:val="none" w:sz="0" w:space="0" w:color="auto"/>
        <w:left w:val="none" w:sz="0" w:space="0" w:color="auto"/>
        <w:bottom w:val="none" w:sz="0" w:space="0" w:color="auto"/>
        <w:right w:val="none" w:sz="0" w:space="0" w:color="auto"/>
      </w:divBdr>
    </w:div>
    <w:div w:id="198394820">
      <w:bodyDiv w:val="1"/>
      <w:marLeft w:val="0"/>
      <w:marRight w:val="0"/>
      <w:marTop w:val="0"/>
      <w:marBottom w:val="0"/>
      <w:divBdr>
        <w:top w:val="none" w:sz="0" w:space="0" w:color="auto"/>
        <w:left w:val="none" w:sz="0" w:space="0" w:color="auto"/>
        <w:bottom w:val="none" w:sz="0" w:space="0" w:color="auto"/>
        <w:right w:val="none" w:sz="0" w:space="0" w:color="auto"/>
      </w:divBdr>
    </w:div>
    <w:div w:id="210270277">
      <w:bodyDiv w:val="1"/>
      <w:marLeft w:val="0"/>
      <w:marRight w:val="0"/>
      <w:marTop w:val="0"/>
      <w:marBottom w:val="0"/>
      <w:divBdr>
        <w:top w:val="none" w:sz="0" w:space="0" w:color="auto"/>
        <w:left w:val="none" w:sz="0" w:space="0" w:color="auto"/>
        <w:bottom w:val="none" w:sz="0" w:space="0" w:color="auto"/>
        <w:right w:val="none" w:sz="0" w:space="0" w:color="auto"/>
      </w:divBdr>
    </w:div>
    <w:div w:id="210962030">
      <w:bodyDiv w:val="1"/>
      <w:marLeft w:val="0"/>
      <w:marRight w:val="0"/>
      <w:marTop w:val="0"/>
      <w:marBottom w:val="0"/>
      <w:divBdr>
        <w:top w:val="none" w:sz="0" w:space="0" w:color="auto"/>
        <w:left w:val="none" w:sz="0" w:space="0" w:color="auto"/>
        <w:bottom w:val="none" w:sz="0" w:space="0" w:color="auto"/>
        <w:right w:val="none" w:sz="0" w:space="0" w:color="auto"/>
      </w:divBdr>
    </w:div>
    <w:div w:id="212623437">
      <w:bodyDiv w:val="1"/>
      <w:marLeft w:val="0"/>
      <w:marRight w:val="0"/>
      <w:marTop w:val="0"/>
      <w:marBottom w:val="0"/>
      <w:divBdr>
        <w:top w:val="none" w:sz="0" w:space="0" w:color="auto"/>
        <w:left w:val="none" w:sz="0" w:space="0" w:color="auto"/>
        <w:bottom w:val="none" w:sz="0" w:space="0" w:color="auto"/>
        <w:right w:val="none" w:sz="0" w:space="0" w:color="auto"/>
      </w:divBdr>
    </w:div>
    <w:div w:id="224028287">
      <w:bodyDiv w:val="1"/>
      <w:marLeft w:val="0"/>
      <w:marRight w:val="0"/>
      <w:marTop w:val="0"/>
      <w:marBottom w:val="0"/>
      <w:divBdr>
        <w:top w:val="none" w:sz="0" w:space="0" w:color="auto"/>
        <w:left w:val="none" w:sz="0" w:space="0" w:color="auto"/>
        <w:bottom w:val="none" w:sz="0" w:space="0" w:color="auto"/>
        <w:right w:val="none" w:sz="0" w:space="0" w:color="auto"/>
      </w:divBdr>
    </w:div>
    <w:div w:id="228811594">
      <w:bodyDiv w:val="1"/>
      <w:marLeft w:val="0"/>
      <w:marRight w:val="0"/>
      <w:marTop w:val="0"/>
      <w:marBottom w:val="0"/>
      <w:divBdr>
        <w:top w:val="none" w:sz="0" w:space="0" w:color="auto"/>
        <w:left w:val="none" w:sz="0" w:space="0" w:color="auto"/>
        <w:bottom w:val="none" w:sz="0" w:space="0" w:color="auto"/>
        <w:right w:val="none" w:sz="0" w:space="0" w:color="auto"/>
      </w:divBdr>
    </w:div>
    <w:div w:id="230359775">
      <w:bodyDiv w:val="1"/>
      <w:marLeft w:val="0"/>
      <w:marRight w:val="0"/>
      <w:marTop w:val="0"/>
      <w:marBottom w:val="0"/>
      <w:divBdr>
        <w:top w:val="none" w:sz="0" w:space="0" w:color="auto"/>
        <w:left w:val="none" w:sz="0" w:space="0" w:color="auto"/>
        <w:bottom w:val="none" w:sz="0" w:space="0" w:color="auto"/>
        <w:right w:val="none" w:sz="0" w:space="0" w:color="auto"/>
      </w:divBdr>
    </w:div>
    <w:div w:id="242951617">
      <w:bodyDiv w:val="1"/>
      <w:marLeft w:val="0"/>
      <w:marRight w:val="0"/>
      <w:marTop w:val="0"/>
      <w:marBottom w:val="0"/>
      <w:divBdr>
        <w:top w:val="none" w:sz="0" w:space="0" w:color="auto"/>
        <w:left w:val="none" w:sz="0" w:space="0" w:color="auto"/>
        <w:bottom w:val="none" w:sz="0" w:space="0" w:color="auto"/>
        <w:right w:val="none" w:sz="0" w:space="0" w:color="auto"/>
      </w:divBdr>
    </w:div>
    <w:div w:id="256524722">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75796524">
      <w:bodyDiv w:val="1"/>
      <w:marLeft w:val="0"/>
      <w:marRight w:val="0"/>
      <w:marTop w:val="0"/>
      <w:marBottom w:val="0"/>
      <w:divBdr>
        <w:top w:val="none" w:sz="0" w:space="0" w:color="auto"/>
        <w:left w:val="none" w:sz="0" w:space="0" w:color="auto"/>
        <w:bottom w:val="none" w:sz="0" w:space="0" w:color="auto"/>
        <w:right w:val="none" w:sz="0" w:space="0" w:color="auto"/>
      </w:divBdr>
    </w:div>
    <w:div w:id="281807224">
      <w:bodyDiv w:val="1"/>
      <w:marLeft w:val="0"/>
      <w:marRight w:val="0"/>
      <w:marTop w:val="0"/>
      <w:marBottom w:val="0"/>
      <w:divBdr>
        <w:top w:val="none" w:sz="0" w:space="0" w:color="auto"/>
        <w:left w:val="none" w:sz="0" w:space="0" w:color="auto"/>
        <w:bottom w:val="none" w:sz="0" w:space="0" w:color="auto"/>
        <w:right w:val="none" w:sz="0" w:space="0" w:color="auto"/>
      </w:divBdr>
    </w:div>
    <w:div w:id="282467547">
      <w:bodyDiv w:val="1"/>
      <w:marLeft w:val="0"/>
      <w:marRight w:val="0"/>
      <w:marTop w:val="0"/>
      <w:marBottom w:val="0"/>
      <w:divBdr>
        <w:top w:val="none" w:sz="0" w:space="0" w:color="auto"/>
        <w:left w:val="none" w:sz="0" w:space="0" w:color="auto"/>
        <w:bottom w:val="none" w:sz="0" w:space="0" w:color="auto"/>
        <w:right w:val="none" w:sz="0" w:space="0" w:color="auto"/>
      </w:divBdr>
    </w:div>
    <w:div w:id="312221942">
      <w:bodyDiv w:val="1"/>
      <w:marLeft w:val="0"/>
      <w:marRight w:val="0"/>
      <w:marTop w:val="0"/>
      <w:marBottom w:val="0"/>
      <w:divBdr>
        <w:top w:val="none" w:sz="0" w:space="0" w:color="auto"/>
        <w:left w:val="none" w:sz="0" w:space="0" w:color="auto"/>
        <w:bottom w:val="none" w:sz="0" w:space="0" w:color="auto"/>
        <w:right w:val="none" w:sz="0" w:space="0" w:color="auto"/>
      </w:divBdr>
    </w:div>
    <w:div w:id="326709181">
      <w:bodyDiv w:val="1"/>
      <w:marLeft w:val="0"/>
      <w:marRight w:val="0"/>
      <w:marTop w:val="0"/>
      <w:marBottom w:val="0"/>
      <w:divBdr>
        <w:top w:val="none" w:sz="0" w:space="0" w:color="auto"/>
        <w:left w:val="none" w:sz="0" w:space="0" w:color="auto"/>
        <w:bottom w:val="none" w:sz="0" w:space="0" w:color="auto"/>
        <w:right w:val="none" w:sz="0" w:space="0" w:color="auto"/>
      </w:divBdr>
    </w:div>
    <w:div w:id="327363001">
      <w:bodyDiv w:val="1"/>
      <w:marLeft w:val="0"/>
      <w:marRight w:val="0"/>
      <w:marTop w:val="0"/>
      <w:marBottom w:val="0"/>
      <w:divBdr>
        <w:top w:val="none" w:sz="0" w:space="0" w:color="auto"/>
        <w:left w:val="none" w:sz="0" w:space="0" w:color="auto"/>
        <w:bottom w:val="none" w:sz="0" w:space="0" w:color="auto"/>
        <w:right w:val="none" w:sz="0" w:space="0" w:color="auto"/>
      </w:divBdr>
    </w:div>
    <w:div w:id="336346760">
      <w:bodyDiv w:val="1"/>
      <w:marLeft w:val="0"/>
      <w:marRight w:val="0"/>
      <w:marTop w:val="0"/>
      <w:marBottom w:val="0"/>
      <w:divBdr>
        <w:top w:val="none" w:sz="0" w:space="0" w:color="auto"/>
        <w:left w:val="none" w:sz="0" w:space="0" w:color="auto"/>
        <w:bottom w:val="none" w:sz="0" w:space="0" w:color="auto"/>
        <w:right w:val="none" w:sz="0" w:space="0" w:color="auto"/>
      </w:divBdr>
    </w:div>
    <w:div w:id="337738073">
      <w:bodyDiv w:val="1"/>
      <w:marLeft w:val="0"/>
      <w:marRight w:val="0"/>
      <w:marTop w:val="0"/>
      <w:marBottom w:val="0"/>
      <w:divBdr>
        <w:top w:val="none" w:sz="0" w:space="0" w:color="auto"/>
        <w:left w:val="none" w:sz="0" w:space="0" w:color="auto"/>
        <w:bottom w:val="none" w:sz="0" w:space="0" w:color="auto"/>
        <w:right w:val="none" w:sz="0" w:space="0" w:color="auto"/>
      </w:divBdr>
    </w:div>
    <w:div w:id="339699787">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0398185">
      <w:bodyDiv w:val="1"/>
      <w:marLeft w:val="0"/>
      <w:marRight w:val="0"/>
      <w:marTop w:val="0"/>
      <w:marBottom w:val="0"/>
      <w:divBdr>
        <w:top w:val="none" w:sz="0" w:space="0" w:color="auto"/>
        <w:left w:val="none" w:sz="0" w:space="0" w:color="auto"/>
        <w:bottom w:val="none" w:sz="0" w:space="0" w:color="auto"/>
        <w:right w:val="none" w:sz="0" w:space="0" w:color="auto"/>
      </w:divBdr>
    </w:div>
    <w:div w:id="361900746">
      <w:bodyDiv w:val="1"/>
      <w:marLeft w:val="0"/>
      <w:marRight w:val="0"/>
      <w:marTop w:val="0"/>
      <w:marBottom w:val="0"/>
      <w:divBdr>
        <w:top w:val="none" w:sz="0" w:space="0" w:color="auto"/>
        <w:left w:val="none" w:sz="0" w:space="0" w:color="auto"/>
        <w:bottom w:val="none" w:sz="0" w:space="0" w:color="auto"/>
        <w:right w:val="none" w:sz="0" w:space="0" w:color="auto"/>
      </w:divBdr>
    </w:div>
    <w:div w:id="368915003">
      <w:bodyDiv w:val="1"/>
      <w:marLeft w:val="0"/>
      <w:marRight w:val="0"/>
      <w:marTop w:val="0"/>
      <w:marBottom w:val="0"/>
      <w:divBdr>
        <w:top w:val="none" w:sz="0" w:space="0" w:color="auto"/>
        <w:left w:val="none" w:sz="0" w:space="0" w:color="auto"/>
        <w:bottom w:val="none" w:sz="0" w:space="0" w:color="auto"/>
        <w:right w:val="none" w:sz="0" w:space="0" w:color="auto"/>
      </w:divBdr>
    </w:div>
    <w:div w:id="386034016">
      <w:bodyDiv w:val="1"/>
      <w:marLeft w:val="0"/>
      <w:marRight w:val="0"/>
      <w:marTop w:val="0"/>
      <w:marBottom w:val="0"/>
      <w:divBdr>
        <w:top w:val="none" w:sz="0" w:space="0" w:color="auto"/>
        <w:left w:val="none" w:sz="0" w:space="0" w:color="auto"/>
        <w:bottom w:val="none" w:sz="0" w:space="0" w:color="auto"/>
        <w:right w:val="none" w:sz="0" w:space="0" w:color="auto"/>
      </w:divBdr>
    </w:div>
    <w:div w:id="387533069">
      <w:bodyDiv w:val="1"/>
      <w:marLeft w:val="0"/>
      <w:marRight w:val="0"/>
      <w:marTop w:val="0"/>
      <w:marBottom w:val="0"/>
      <w:divBdr>
        <w:top w:val="none" w:sz="0" w:space="0" w:color="auto"/>
        <w:left w:val="none" w:sz="0" w:space="0" w:color="auto"/>
        <w:bottom w:val="none" w:sz="0" w:space="0" w:color="auto"/>
        <w:right w:val="none" w:sz="0" w:space="0" w:color="auto"/>
      </w:divBdr>
    </w:div>
    <w:div w:id="412973627">
      <w:bodyDiv w:val="1"/>
      <w:marLeft w:val="0"/>
      <w:marRight w:val="0"/>
      <w:marTop w:val="0"/>
      <w:marBottom w:val="0"/>
      <w:divBdr>
        <w:top w:val="none" w:sz="0" w:space="0" w:color="auto"/>
        <w:left w:val="none" w:sz="0" w:space="0" w:color="auto"/>
        <w:bottom w:val="none" w:sz="0" w:space="0" w:color="auto"/>
        <w:right w:val="none" w:sz="0" w:space="0" w:color="auto"/>
      </w:divBdr>
    </w:div>
    <w:div w:id="421033582">
      <w:bodyDiv w:val="1"/>
      <w:marLeft w:val="0"/>
      <w:marRight w:val="0"/>
      <w:marTop w:val="0"/>
      <w:marBottom w:val="0"/>
      <w:divBdr>
        <w:top w:val="none" w:sz="0" w:space="0" w:color="auto"/>
        <w:left w:val="none" w:sz="0" w:space="0" w:color="auto"/>
        <w:bottom w:val="none" w:sz="0" w:space="0" w:color="auto"/>
        <w:right w:val="none" w:sz="0" w:space="0" w:color="auto"/>
      </w:divBdr>
    </w:div>
    <w:div w:id="422456756">
      <w:bodyDiv w:val="1"/>
      <w:marLeft w:val="0"/>
      <w:marRight w:val="0"/>
      <w:marTop w:val="0"/>
      <w:marBottom w:val="0"/>
      <w:divBdr>
        <w:top w:val="none" w:sz="0" w:space="0" w:color="auto"/>
        <w:left w:val="none" w:sz="0" w:space="0" w:color="auto"/>
        <w:bottom w:val="none" w:sz="0" w:space="0" w:color="auto"/>
        <w:right w:val="none" w:sz="0" w:space="0" w:color="auto"/>
      </w:divBdr>
    </w:div>
    <w:div w:id="422923128">
      <w:bodyDiv w:val="1"/>
      <w:marLeft w:val="0"/>
      <w:marRight w:val="0"/>
      <w:marTop w:val="0"/>
      <w:marBottom w:val="0"/>
      <w:divBdr>
        <w:top w:val="none" w:sz="0" w:space="0" w:color="auto"/>
        <w:left w:val="none" w:sz="0" w:space="0" w:color="auto"/>
        <w:bottom w:val="none" w:sz="0" w:space="0" w:color="auto"/>
        <w:right w:val="none" w:sz="0" w:space="0" w:color="auto"/>
      </w:divBdr>
    </w:div>
    <w:div w:id="429936062">
      <w:bodyDiv w:val="1"/>
      <w:marLeft w:val="0"/>
      <w:marRight w:val="0"/>
      <w:marTop w:val="0"/>
      <w:marBottom w:val="0"/>
      <w:divBdr>
        <w:top w:val="none" w:sz="0" w:space="0" w:color="auto"/>
        <w:left w:val="none" w:sz="0" w:space="0" w:color="auto"/>
        <w:bottom w:val="none" w:sz="0" w:space="0" w:color="auto"/>
        <w:right w:val="none" w:sz="0" w:space="0" w:color="auto"/>
      </w:divBdr>
    </w:div>
    <w:div w:id="444155493">
      <w:bodyDiv w:val="1"/>
      <w:marLeft w:val="0"/>
      <w:marRight w:val="0"/>
      <w:marTop w:val="0"/>
      <w:marBottom w:val="0"/>
      <w:divBdr>
        <w:top w:val="none" w:sz="0" w:space="0" w:color="auto"/>
        <w:left w:val="none" w:sz="0" w:space="0" w:color="auto"/>
        <w:bottom w:val="none" w:sz="0" w:space="0" w:color="auto"/>
        <w:right w:val="none" w:sz="0" w:space="0" w:color="auto"/>
      </w:divBdr>
    </w:div>
    <w:div w:id="446628274">
      <w:bodyDiv w:val="1"/>
      <w:marLeft w:val="0"/>
      <w:marRight w:val="0"/>
      <w:marTop w:val="0"/>
      <w:marBottom w:val="0"/>
      <w:divBdr>
        <w:top w:val="none" w:sz="0" w:space="0" w:color="auto"/>
        <w:left w:val="none" w:sz="0" w:space="0" w:color="auto"/>
        <w:bottom w:val="none" w:sz="0" w:space="0" w:color="auto"/>
        <w:right w:val="none" w:sz="0" w:space="0" w:color="auto"/>
      </w:divBdr>
    </w:div>
    <w:div w:id="453522519">
      <w:bodyDiv w:val="1"/>
      <w:marLeft w:val="0"/>
      <w:marRight w:val="0"/>
      <w:marTop w:val="0"/>
      <w:marBottom w:val="0"/>
      <w:divBdr>
        <w:top w:val="none" w:sz="0" w:space="0" w:color="auto"/>
        <w:left w:val="none" w:sz="0" w:space="0" w:color="auto"/>
        <w:bottom w:val="none" w:sz="0" w:space="0" w:color="auto"/>
        <w:right w:val="none" w:sz="0" w:space="0" w:color="auto"/>
      </w:divBdr>
    </w:div>
    <w:div w:id="460269345">
      <w:bodyDiv w:val="1"/>
      <w:marLeft w:val="0"/>
      <w:marRight w:val="0"/>
      <w:marTop w:val="0"/>
      <w:marBottom w:val="0"/>
      <w:divBdr>
        <w:top w:val="none" w:sz="0" w:space="0" w:color="auto"/>
        <w:left w:val="none" w:sz="0" w:space="0" w:color="auto"/>
        <w:bottom w:val="none" w:sz="0" w:space="0" w:color="auto"/>
        <w:right w:val="none" w:sz="0" w:space="0" w:color="auto"/>
      </w:divBdr>
    </w:div>
    <w:div w:id="472328481">
      <w:bodyDiv w:val="1"/>
      <w:marLeft w:val="0"/>
      <w:marRight w:val="0"/>
      <w:marTop w:val="0"/>
      <w:marBottom w:val="0"/>
      <w:divBdr>
        <w:top w:val="none" w:sz="0" w:space="0" w:color="auto"/>
        <w:left w:val="none" w:sz="0" w:space="0" w:color="auto"/>
        <w:bottom w:val="none" w:sz="0" w:space="0" w:color="auto"/>
        <w:right w:val="none" w:sz="0" w:space="0" w:color="auto"/>
      </w:divBdr>
    </w:div>
    <w:div w:id="475071890">
      <w:bodyDiv w:val="1"/>
      <w:marLeft w:val="0"/>
      <w:marRight w:val="0"/>
      <w:marTop w:val="0"/>
      <w:marBottom w:val="0"/>
      <w:divBdr>
        <w:top w:val="none" w:sz="0" w:space="0" w:color="auto"/>
        <w:left w:val="none" w:sz="0" w:space="0" w:color="auto"/>
        <w:bottom w:val="none" w:sz="0" w:space="0" w:color="auto"/>
        <w:right w:val="none" w:sz="0" w:space="0" w:color="auto"/>
      </w:divBdr>
    </w:div>
    <w:div w:id="475298268">
      <w:bodyDiv w:val="1"/>
      <w:marLeft w:val="0"/>
      <w:marRight w:val="0"/>
      <w:marTop w:val="0"/>
      <w:marBottom w:val="0"/>
      <w:divBdr>
        <w:top w:val="none" w:sz="0" w:space="0" w:color="auto"/>
        <w:left w:val="none" w:sz="0" w:space="0" w:color="auto"/>
        <w:bottom w:val="none" w:sz="0" w:space="0" w:color="auto"/>
        <w:right w:val="none" w:sz="0" w:space="0" w:color="auto"/>
      </w:divBdr>
    </w:div>
    <w:div w:id="476995687">
      <w:bodyDiv w:val="1"/>
      <w:marLeft w:val="0"/>
      <w:marRight w:val="0"/>
      <w:marTop w:val="0"/>
      <w:marBottom w:val="0"/>
      <w:divBdr>
        <w:top w:val="none" w:sz="0" w:space="0" w:color="auto"/>
        <w:left w:val="none" w:sz="0" w:space="0" w:color="auto"/>
        <w:bottom w:val="none" w:sz="0" w:space="0" w:color="auto"/>
        <w:right w:val="none" w:sz="0" w:space="0" w:color="auto"/>
      </w:divBdr>
    </w:div>
    <w:div w:id="482041938">
      <w:bodyDiv w:val="1"/>
      <w:marLeft w:val="0"/>
      <w:marRight w:val="0"/>
      <w:marTop w:val="0"/>
      <w:marBottom w:val="0"/>
      <w:divBdr>
        <w:top w:val="none" w:sz="0" w:space="0" w:color="auto"/>
        <w:left w:val="none" w:sz="0" w:space="0" w:color="auto"/>
        <w:bottom w:val="none" w:sz="0" w:space="0" w:color="auto"/>
        <w:right w:val="none" w:sz="0" w:space="0" w:color="auto"/>
      </w:divBdr>
    </w:div>
    <w:div w:id="490372386">
      <w:bodyDiv w:val="1"/>
      <w:marLeft w:val="0"/>
      <w:marRight w:val="0"/>
      <w:marTop w:val="0"/>
      <w:marBottom w:val="0"/>
      <w:divBdr>
        <w:top w:val="none" w:sz="0" w:space="0" w:color="auto"/>
        <w:left w:val="none" w:sz="0" w:space="0" w:color="auto"/>
        <w:bottom w:val="none" w:sz="0" w:space="0" w:color="auto"/>
        <w:right w:val="none" w:sz="0" w:space="0" w:color="auto"/>
      </w:divBdr>
    </w:div>
    <w:div w:id="492336440">
      <w:bodyDiv w:val="1"/>
      <w:marLeft w:val="0"/>
      <w:marRight w:val="0"/>
      <w:marTop w:val="0"/>
      <w:marBottom w:val="0"/>
      <w:divBdr>
        <w:top w:val="none" w:sz="0" w:space="0" w:color="auto"/>
        <w:left w:val="none" w:sz="0" w:space="0" w:color="auto"/>
        <w:bottom w:val="none" w:sz="0" w:space="0" w:color="auto"/>
        <w:right w:val="none" w:sz="0" w:space="0" w:color="auto"/>
      </w:divBdr>
    </w:div>
    <w:div w:id="496270714">
      <w:bodyDiv w:val="1"/>
      <w:marLeft w:val="0"/>
      <w:marRight w:val="0"/>
      <w:marTop w:val="0"/>
      <w:marBottom w:val="0"/>
      <w:divBdr>
        <w:top w:val="none" w:sz="0" w:space="0" w:color="auto"/>
        <w:left w:val="none" w:sz="0" w:space="0" w:color="auto"/>
        <w:bottom w:val="none" w:sz="0" w:space="0" w:color="auto"/>
        <w:right w:val="none" w:sz="0" w:space="0" w:color="auto"/>
      </w:divBdr>
    </w:div>
    <w:div w:id="497699025">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5001827">
      <w:bodyDiv w:val="1"/>
      <w:marLeft w:val="0"/>
      <w:marRight w:val="0"/>
      <w:marTop w:val="0"/>
      <w:marBottom w:val="0"/>
      <w:divBdr>
        <w:top w:val="none" w:sz="0" w:space="0" w:color="auto"/>
        <w:left w:val="none" w:sz="0" w:space="0" w:color="auto"/>
        <w:bottom w:val="none" w:sz="0" w:space="0" w:color="auto"/>
        <w:right w:val="none" w:sz="0" w:space="0" w:color="auto"/>
      </w:divBdr>
    </w:div>
    <w:div w:id="519466585">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29224074">
      <w:bodyDiv w:val="1"/>
      <w:marLeft w:val="0"/>
      <w:marRight w:val="0"/>
      <w:marTop w:val="0"/>
      <w:marBottom w:val="0"/>
      <w:divBdr>
        <w:top w:val="none" w:sz="0" w:space="0" w:color="auto"/>
        <w:left w:val="none" w:sz="0" w:space="0" w:color="auto"/>
        <w:bottom w:val="none" w:sz="0" w:space="0" w:color="auto"/>
        <w:right w:val="none" w:sz="0" w:space="0" w:color="auto"/>
      </w:divBdr>
    </w:div>
    <w:div w:id="537863420">
      <w:bodyDiv w:val="1"/>
      <w:marLeft w:val="0"/>
      <w:marRight w:val="0"/>
      <w:marTop w:val="0"/>
      <w:marBottom w:val="0"/>
      <w:divBdr>
        <w:top w:val="none" w:sz="0" w:space="0" w:color="auto"/>
        <w:left w:val="none" w:sz="0" w:space="0" w:color="auto"/>
        <w:bottom w:val="none" w:sz="0" w:space="0" w:color="auto"/>
        <w:right w:val="none" w:sz="0" w:space="0" w:color="auto"/>
      </w:divBdr>
    </w:div>
    <w:div w:id="545263837">
      <w:bodyDiv w:val="1"/>
      <w:marLeft w:val="0"/>
      <w:marRight w:val="0"/>
      <w:marTop w:val="0"/>
      <w:marBottom w:val="0"/>
      <w:divBdr>
        <w:top w:val="none" w:sz="0" w:space="0" w:color="auto"/>
        <w:left w:val="none" w:sz="0" w:space="0" w:color="auto"/>
        <w:bottom w:val="none" w:sz="0" w:space="0" w:color="auto"/>
        <w:right w:val="none" w:sz="0" w:space="0" w:color="auto"/>
      </w:divBdr>
    </w:div>
    <w:div w:id="572854974">
      <w:bodyDiv w:val="1"/>
      <w:marLeft w:val="0"/>
      <w:marRight w:val="0"/>
      <w:marTop w:val="0"/>
      <w:marBottom w:val="0"/>
      <w:divBdr>
        <w:top w:val="none" w:sz="0" w:space="0" w:color="auto"/>
        <w:left w:val="none" w:sz="0" w:space="0" w:color="auto"/>
        <w:bottom w:val="none" w:sz="0" w:space="0" w:color="auto"/>
        <w:right w:val="none" w:sz="0" w:space="0" w:color="auto"/>
      </w:divBdr>
    </w:div>
    <w:div w:id="576475234">
      <w:bodyDiv w:val="1"/>
      <w:marLeft w:val="0"/>
      <w:marRight w:val="0"/>
      <w:marTop w:val="0"/>
      <w:marBottom w:val="0"/>
      <w:divBdr>
        <w:top w:val="none" w:sz="0" w:space="0" w:color="auto"/>
        <w:left w:val="none" w:sz="0" w:space="0" w:color="auto"/>
        <w:bottom w:val="none" w:sz="0" w:space="0" w:color="auto"/>
        <w:right w:val="none" w:sz="0" w:space="0" w:color="auto"/>
      </w:divBdr>
    </w:div>
    <w:div w:id="578444216">
      <w:bodyDiv w:val="1"/>
      <w:marLeft w:val="0"/>
      <w:marRight w:val="0"/>
      <w:marTop w:val="0"/>
      <w:marBottom w:val="0"/>
      <w:divBdr>
        <w:top w:val="none" w:sz="0" w:space="0" w:color="auto"/>
        <w:left w:val="none" w:sz="0" w:space="0" w:color="auto"/>
        <w:bottom w:val="none" w:sz="0" w:space="0" w:color="auto"/>
        <w:right w:val="none" w:sz="0" w:space="0" w:color="auto"/>
      </w:divBdr>
    </w:div>
    <w:div w:id="599490194">
      <w:bodyDiv w:val="1"/>
      <w:marLeft w:val="0"/>
      <w:marRight w:val="0"/>
      <w:marTop w:val="0"/>
      <w:marBottom w:val="0"/>
      <w:divBdr>
        <w:top w:val="none" w:sz="0" w:space="0" w:color="auto"/>
        <w:left w:val="none" w:sz="0" w:space="0" w:color="auto"/>
        <w:bottom w:val="none" w:sz="0" w:space="0" w:color="auto"/>
        <w:right w:val="none" w:sz="0" w:space="0" w:color="auto"/>
      </w:divBdr>
    </w:div>
    <w:div w:id="600072633">
      <w:bodyDiv w:val="1"/>
      <w:marLeft w:val="0"/>
      <w:marRight w:val="0"/>
      <w:marTop w:val="0"/>
      <w:marBottom w:val="0"/>
      <w:divBdr>
        <w:top w:val="none" w:sz="0" w:space="0" w:color="auto"/>
        <w:left w:val="none" w:sz="0" w:space="0" w:color="auto"/>
        <w:bottom w:val="none" w:sz="0" w:space="0" w:color="auto"/>
        <w:right w:val="none" w:sz="0" w:space="0" w:color="auto"/>
      </w:divBdr>
    </w:div>
    <w:div w:id="60296144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1323467">
      <w:bodyDiv w:val="1"/>
      <w:marLeft w:val="0"/>
      <w:marRight w:val="0"/>
      <w:marTop w:val="0"/>
      <w:marBottom w:val="0"/>
      <w:divBdr>
        <w:top w:val="none" w:sz="0" w:space="0" w:color="auto"/>
        <w:left w:val="none" w:sz="0" w:space="0" w:color="auto"/>
        <w:bottom w:val="none" w:sz="0" w:space="0" w:color="auto"/>
        <w:right w:val="none" w:sz="0" w:space="0" w:color="auto"/>
      </w:divBdr>
    </w:div>
    <w:div w:id="641732200">
      <w:bodyDiv w:val="1"/>
      <w:marLeft w:val="0"/>
      <w:marRight w:val="0"/>
      <w:marTop w:val="0"/>
      <w:marBottom w:val="0"/>
      <w:divBdr>
        <w:top w:val="none" w:sz="0" w:space="0" w:color="auto"/>
        <w:left w:val="none" w:sz="0" w:space="0" w:color="auto"/>
        <w:bottom w:val="none" w:sz="0" w:space="0" w:color="auto"/>
        <w:right w:val="none" w:sz="0" w:space="0" w:color="auto"/>
      </w:divBdr>
    </w:div>
    <w:div w:id="642857574">
      <w:bodyDiv w:val="1"/>
      <w:marLeft w:val="0"/>
      <w:marRight w:val="0"/>
      <w:marTop w:val="0"/>
      <w:marBottom w:val="0"/>
      <w:divBdr>
        <w:top w:val="none" w:sz="0" w:space="0" w:color="auto"/>
        <w:left w:val="none" w:sz="0" w:space="0" w:color="auto"/>
        <w:bottom w:val="none" w:sz="0" w:space="0" w:color="auto"/>
        <w:right w:val="none" w:sz="0" w:space="0" w:color="auto"/>
      </w:divBdr>
    </w:div>
    <w:div w:id="645938772">
      <w:bodyDiv w:val="1"/>
      <w:marLeft w:val="0"/>
      <w:marRight w:val="0"/>
      <w:marTop w:val="0"/>
      <w:marBottom w:val="0"/>
      <w:divBdr>
        <w:top w:val="none" w:sz="0" w:space="0" w:color="auto"/>
        <w:left w:val="none" w:sz="0" w:space="0" w:color="auto"/>
        <w:bottom w:val="none" w:sz="0" w:space="0" w:color="auto"/>
        <w:right w:val="none" w:sz="0" w:space="0" w:color="auto"/>
      </w:divBdr>
    </w:div>
    <w:div w:id="646933796">
      <w:bodyDiv w:val="1"/>
      <w:marLeft w:val="0"/>
      <w:marRight w:val="0"/>
      <w:marTop w:val="0"/>
      <w:marBottom w:val="0"/>
      <w:divBdr>
        <w:top w:val="none" w:sz="0" w:space="0" w:color="auto"/>
        <w:left w:val="none" w:sz="0" w:space="0" w:color="auto"/>
        <w:bottom w:val="none" w:sz="0" w:space="0" w:color="auto"/>
        <w:right w:val="none" w:sz="0" w:space="0" w:color="auto"/>
      </w:divBdr>
    </w:div>
    <w:div w:id="647395177">
      <w:bodyDiv w:val="1"/>
      <w:marLeft w:val="0"/>
      <w:marRight w:val="0"/>
      <w:marTop w:val="0"/>
      <w:marBottom w:val="0"/>
      <w:divBdr>
        <w:top w:val="none" w:sz="0" w:space="0" w:color="auto"/>
        <w:left w:val="none" w:sz="0" w:space="0" w:color="auto"/>
        <w:bottom w:val="none" w:sz="0" w:space="0" w:color="auto"/>
        <w:right w:val="none" w:sz="0" w:space="0" w:color="auto"/>
      </w:divBdr>
    </w:div>
    <w:div w:id="652686400">
      <w:bodyDiv w:val="1"/>
      <w:marLeft w:val="0"/>
      <w:marRight w:val="0"/>
      <w:marTop w:val="0"/>
      <w:marBottom w:val="0"/>
      <w:divBdr>
        <w:top w:val="none" w:sz="0" w:space="0" w:color="auto"/>
        <w:left w:val="none" w:sz="0" w:space="0" w:color="auto"/>
        <w:bottom w:val="none" w:sz="0" w:space="0" w:color="auto"/>
        <w:right w:val="none" w:sz="0" w:space="0" w:color="auto"/>
      </w:divBdr>
    </w:div>
    <w:div w:id="652952105">
      <w:bodyDiv w:val="1"/>
      <w:marLeft w:val="0"/>
      <w:marRight w:val="0"/>
      <w:marTop w:val="0"/>
      <w:marBottom w:val="0"/>
      <w:divBdr>
        <w:top w:val="none" w:sz="0" w:space="0" w:color="auto"/>
        <w:left w:val="none" w:sz="0" w:space="0" w:color="auto"/>
        <w:bottom w:val="none" w:sz="0" w:space="0" w:color="auto"/>
        <w:right w:val="none" w:sz="0" w:space="0" w:color="auto"/>
      </w:divBdr>
    </w:div>
    <w:div w:id="662397746">
      <w:bodyDiv w:val="1"/>
      <w:marLeft w:val="0"/>
      <w:marRight w:val="0"/>
      <w:marTop w:val="0"/>
      <w:marBottom w:val="0"/>
      <w:divBdr>
        <w:top w:val="none" w:sz="0" w:space="0" w:color="auto"/>
        <w:left w:val="none" w:sz="0" w:space="0" w:color="auto"/>
        <w:bottom w:val="none" w:sz="0" w:space="0" w:color="auto"/>
        <w:right w:val="none" w:sz="0" w:space="0" w:color="auto"/>
      </w:divBdr>
    </w:div>
    <w:div w:id="682900774">
      <w:bodyDiv w:val="1"/>
      <w:marLeft w:val="0"/>
      <w:marRight w:val="0"/>
      <w:marTop w:val="0"/>
      <w:marBottom w:val="0"/>
      <w:divBdr>
        <w:top w:val="none" w:sz="0" w:space="0" w:color="auto"/>
        <w:left w:val="none" w:sz="0" w:space="0" w:color="auto"/>
        <w:bottom w:val="none" w:sz="0" w:space="0" w:color="auto"/>
        <w:right w:val="none" w:sz="0" w:space="0" w:color="auto"/>
      </w:divBdr>
    </w:div>
    <w:div w:id="694235626">
      <w:bodyDiv w:val="1"/>
      <w:marLeft w:val="0"/>
      <w:marRight w:val="0"/>
      <w:marTop w:val="0"/>
      <w:marBottom w:val="0"/>
      <w:divBdr>
        <w:top w:val="none" w:sz="0" w:space="0" w:color="auto"/>
        <w:left w:val="none" w:sz="0" w:space="0" w:color="auto"/>
        <w:bottom w:val="none" w:sz="0" w:space="0" w:color="auto"/>
        <w:right w:val="none" w:sz="0" w:space="0" w:color="auto"/>
      </w:divBdr>
    </w:div>
    <w:div w:id="698550505">
      <w:bodyDiv w:val="1"/>
      <w:marLeft w:val="0"/>
      <w:marRight w:val="0"/>
      <w:marTop w:val="0"/>
      <w:marBottom w:val="0"/>
      <w:divBdr>
        <w:top w:val="none" w:sz="0" w:space="0" w:color="auto"/>
        <w:left w:val="none" w:sz="0" w:space="0" w:color="auto"/>
        <w:bottom w:val="none" w:sz="0" w:space="0" w:color="auto"/>
        <w:right w:val="none" w:sz="0" w:space="0" w:color="auto"/>
      </w:divBdr>
    </w:div>
    <w:div w:id="703945858">
      <w:bodyDiv w:val="1"/>
      <w:marLeft w:val="0"/>
      <w:marRight w:val="0"/>
      <w:marTop w:val="0"/>
      <w:marBottom w:val="0"/>
      <w:divBdr>
        <w:top w:val="none" w:sz="0" w:space="0" w:color="auto"/>
        <w:left w:val="none" w:sz="0" w:space="0" w:color="auto"/>
        <w:bottom w:val="none" w:sz="0" w:space="0" w:color="auto"/>
        <w:right w:val="none" w:sz="0" w:space="0" w:color="auto"/>
      </w:divBdr>
    </w:div>
    <w:div w:id="717168943">
      <w:bodyDiv w:val="1"/>
      <w:marLeft w:val="0"/>
      <w:marRight w:val="0"/>
      <w:marTop w:val="0"/>
      <w:marBottom w:val="0"/>
      <w:divBdr>
        <w:top w:val="none" w:sz="0" w:space="0" w:color="auto"/>
        <w:left w:val="none" w:sz="0" w:space="0" w:color="auto"/>
        <w:bottom w:val="none" w:sz="0" w:space="0" w:color="auto"/>
        <w:right w:val="none" w:sz="0" w:space="0" w:color="auto"/>
      </w:divBdr>
    </w:div>
    <w:div w:id="719979333">
      <w:bodyDiv w:val="1"/>
      <w:marLeft w:val="0"/>
      <w:marRight w:val="0"/>
      <w:marTop w:val="0"/>
      <w:marBottom w:val="0"/>
      <w:divBdr>
        <w:top w:val="none" w:sz="0" w:space="0" w:color="auto"/>
        <w:left w:val="none" w:sz="0" w:space="0" w:color="auto"/>
        <w:bottom w:val="none" w:sz="0" w:space="0" w:color="auto"/>
        <w:right w:val="none" w:sz="0" w:space="0" w:color="auto"/>
      </w:divBdr>
    </w:div>
    <w:div w:id="723715991">
      <w:bodyDiv w:val="1"/>
      <w:marLeft w:val="0"/>
      <w:marRight w:val="0"/>
      <w:marTop w:val="0"/>
      <w:marBottom w:val="0"/>
      <w:divBdr>
        <w:top w:val="none" w:sz="0" w:space="0" w:color="auto"/>
        <w:left w:val="none" w:sz="0" w:space="0" w:color="auto"/>
        <w:bottom w:val="none" w:sz="0" w:space="0" w:color="auto"/>
        <w:right w:val="none" w:sz="0" w:space="0" w:color="auto"/>
      </w:divBdr>
    </w:div>
    <w:div w:id="724111817">
      <w:bodyDiv w:val="1"/>
      <w:marLeft w:val="0"/>
      <w:marRight w:val="0"/>
      <w:marTop w:val="0"/>
      <w:marBottom w:val="0"/>
      <w:divBdr>
        <w:top w:val="none" w:sz="0" w:space="0" w:color="auto"/>
        <w:left w:val="none" w:sz="0" w:space="0" w:color="auto"/>
        <w:bottom w:val="none" w:sz="0" w:space="0" w:color="auto"/>
        <w:right w:val="none" w:sz="0" w:space="0" w:color="auto"/>
      </w:divBdr>
    </w:div>
    <w:div w:id="739519127">
      <w:bodyDiv w:val="1"/>
      <w:marLeft w:val="0"/>
      <w:marRight w:val="0"/>
      <w:marTop w:val="0"/>
      <w:marBottom w:val="0"/>
      <w:divBdr>
        <w:top w:val="none" w:sz="0" w:space="0" w:color="auto"/>
        <w:left w:val="none" w:sz="0" w:space="0" w:color="auto"/>
        <w:bottom w:val="none" w:sz="0" w:space="0" w:color="auto"/>
        <w:right w:val="none" w:sz="0" w:space="0" w:color="auto"/>
      </w:divBdr>
    </w:div>
    <w:div w:id="741219621">
      <w:bodyDiv w:val="1"/>
      <w:marLeft w:val="0"/>
      <w:marRight w:val="0"/>
      <w:marTop w:val="0"/>
      <w:marBottom w:val="0"/>
      <w:divBdr>
        <w:top w:val="none" w:sz="0" w:space="0" w:color="auto"/>
        <w:left w:val="none" w:sz="0" w:space="0" w:color="auto"/>
        <w:bottom w:val="none" w:sz="0" w:space="0" w:color="auto"/>
        <w:right w:val="none" w:sz="0" w:space="0" w:color="auto"/>
      </w:divBdr>
    </w:div>
    <w:div w:id="741954214">
      <w:bodyDiv w:val="1"/>
      <w:marLeft w:val="0"/>
      <w:marRight w:val="0"/>
      <w:marTop w:val="0"/>
      <w:marBottom w:val="0"/>
      <w:divBdr>
        <w:top w:val="none" w:sz="0" w:space="0" w:color="auto"/>
        <w:left w:val="none" w:sz="0" w:space="0" w:color="auto"/>
        <w:bottom w:val="none" w:sz="0" w:space="0" w:color="auto"/>
        <w:right w:val="none" w:sz="0" w:space="0" w:color="auto"/>
      </w:divBdr>
    </w:div>
    <w:div w:id="752707777">
      <w:bodyDiv w:val="1"/>
      <w:marLeft w:val="0"/>
      <w:marRight w:val="0"/>
      <w:marTop w:val="0"/>
      <w:marBottom w:val="0"/>
      <w:divBdr>
        <w:top w:val="none" w:sz="0" w:space="0" w:color="auto"/>
        <w:left w:val="none" w:sz="0" w:space="0" w:color="auto"/>
        <w:bottom w:val="none" w:sz="0" w:space="0" w:color="auto"/>
        <w:right w:val="none" w:sz="0" w:space="0" w:color="auto"/>
      </w:divBdr>
    </w:div>
    <w:div w:id="756444439">
      <w:bodyDiv w:val="1"/>
      <w:marLeft w:val="0"/>
      <w:marRight w:val="0"/>
      <w:marTop w:val="0"/>
      <w:marBottom w:val="0"/>
      <w:divBdr>
        <w:top w:val="none" w:sz="0" w:space="0" w:color="auto"/>
        <w:left w:val="none" w:sz="0" w:space="0" w:color="auto"/>
        <w:bottom w:val="none" w:sz="0" w:space="0" w:color="auto"/>
        <w:right w:val="none" w:sz="0" w:space="0" w:color="auto"/>
      </w:divBdr>
      <w:divsChild>
        <w:div w:id="49424765">
          <w:marLeft w:val="734"/>
          <w:marRight w:val="0"/>
          <w:marTop w:val="100"/>
          <w:marBottom w:val="0"/>
          <w:divBdr>
            <w:top w:val="none" w:sz="0" w:space="0" w:color="auto"/>
            <w:left w:val="none" w:sz="0" w:space="0" w:color="auto"/>
            <w:bottom w:val="none" w:sz="0" w:space="0" w:color="auto"/>
            <w:right w:val="none" w:sz="0" w:space="0" w:color="auto"/>
          </w:divBdr>
        </w:div>
      </w:divsChild>
    </w:div>
    <w:div w:id="765999403">
      <w:bodyDiv w:val="1"/>
      <w:marLeft w:val="0"/>
      <w:marRight w:val="0"/>
      <w:marTop w:val="0"/>
      <w:marBottom w:val="0"/>
      <w:divBdr>
        <w:top w:val="none" w:sz="0" w:space="0" w:color="auto"/>
        <w:left w:val="none" w:sz="0" w:space="0" w:color="auto"/>
        <w:bottom w:val="none" w:sz="0" w:space="0" w:color="auto"/>
        <w:right w:val="none" w:sz="0" w:space="0" w:color="auto"/>
      </w:divBdr>
    </w:div>
    <w:div w:id="780228611">
      <w:bodyDiv w:val="1"/>
      <w:marLeft w:val="0"/>
      <w:marRight w:val="0"/>
      <w:marTop w:val="0"/>
      <w:marBottom w:val="0"/>
      <w:divBdr>
        <w:top w:val="none" w:sz="0" w:space="0" w:color="auto"/>
        <w:left w:val="none" w:sz="0" w:space="0" w:color="auto"/>
        <w:bottom w:val="none" w:sz="0" w:space="0" w:color="auto"/>
        <w:right w:val="none" w:sz="0" w:space="0" w:color="auto"/>
      </w:divBdr>
    </w:div>
    <w:div w:id="786585015">
      <w:bodyDiv w:val="1"/>
      <w:marLeft w:val="0"/>
      <w:marRight w:val="0"/>
      <w:marTop w:val="0"/>
      <w:marBottom w:val="0"/>
      <w:divBdr>
        <w:top w:val="none" w:sz="0" w:space="0" w:color="auto"/>
        <w:left w:val="none" w:sz="0" w:space="0" w:color="auto"/>
        <w:bottom w:val="none" w:sz="0" w:space="0" w:color="auto"/>
        <w:right w:val="none" w:sz="0" w:space="0" w:color="auto"/>
      </w:divBdr>
    </w:div>
    <w:div w:id="793520757">
      <w:bodyDiv w:val="1"/>
      <w:marLeft w:val="0"/>
      <w:marRight w:val="0"/>
      <w:marTop w:val="0"/>
      <w:marBottom w:val="0"/>
      <w:divBdr>
        <w:top w:val="none" w:sz="0" w:space="0" w:color="auto"/>
        <w:left w:val="none" w:sz="0" w:space="0" w:color="auto"/>
        <w:bottom w:val="none" w:sz="0" w:space="0" w:color="auto"/>
        <w:right w:val="none" w:sz="0" w:space="0" w:color="auto"/>
      </w:divBdr>
    </w:div>
    <w:div w:id="801384026">
      <w:bodyDiv w:val="1"/>
      <w:marLeft w:val="0"/>
      <w:marRight w:val="0"/>
      <w:marTop w:val="0"/>
      <w:marBottom w:val="0"/>
      <w:divBdr>
        <w:top w:val="none" w:sz="0" w:space="0" w:color="auto"/>
        <w:left w:val="none" w:sz="0" w:space="0" w:color="auto"/>
        <w:bottom w:val="none" w:sz="0" w:space="0" w:color="auto"/>
        <w:right w:val="none" w:sz="0" w:space="0" w:color="auto"/>
      </w:divBdr>
      <w:divsChild>
        <w:div w:id="444619720">
          <w:marLeft w:val="446"/>
          <w:marRight w:val="0"/>
          <w:marTop w:val="100"/>
          <w:marBottom w:val="0"/>
          <w:divBdr>
            <w:top w:val="none" w:sz="0" w:space="0" w:color="auto"/>
            <w:left w:val="none" w:sz="0" w:space="0" w:color="auto"/>
            <w:bottom w:val="none" w:sz="0" w:space="0" w:color="auto"/>
            <w:right w:val="none" w:sz="0" w:space="0" w:color="auto"/>
          </w:divBdr>
        </w:div>
        <w:div w:id="729184539">
          <w:marLeft w:val="734"/>
          <w:marRight w:val="0"/>
          <w:marTop w:val="100"/>
          <w:marBottom w:val="0"/>
          <w:divBdr>
            <w:top w:val="none" w:sz="0" w:space="0" w:color="auto"/>
            <w:left w:val="none" w:sz="0" w:space="0" w:color="auto"/>
            <w:bottom w:val="none" w:sz="0" w:space="0" w:color="auto"/>
            <w:right w:val="none" w:sz="0" w:space="0" w:color="auto"/>
          </w:divBdr>
        </w:div>
        <w:div w:id="899898407">
          <w:marLeft w:val="1022"/>
          <w:marRight w:val="0"/>
          <w:marTop w:val="100"/>
          <w:marBottom w:val="0"/>
          <w:divBdr>
            <w:top w:val="none" w:sz="0" w:space="0" w:color="auto"/>
            <w:left w:val="none" w:sz="0" w:space="0" w:color="auto"/>
            <w:bottom w:val="none" w:sz="0" w:space="0" w:color="auto"/>
            <w:right w:val="none" w:sz="0" w:space="0" w:color="auto"/>
          </w:divBdr>
        </w:div>
        <w:div w:id="1091270373">
          <w:marLeft w:val="1022"/>
          <w:marRight w:val="0"/>
          <w:marTop w:val="100"/>
          <w:marBottom w:val="0"/>
          <w:divBdr>
            <w:top w:val="none" w:sz="0" w:space="0" w:color="auto"/>
            <w:left w:val="none" w:sz="0" w:space="0" w:color="auto"/>
            <w:bottom w:val="none" w:sz="0" w:space="0" w:color="auto"/>
            <w:right w:val="none" w:sz="0" w:space="0" w:color="auto"/>
          </w:divBdr>
        </w:div>
        <w:div w:id="1315183963">
          <w:marLeft w:val="1022"/>
          <w:marRight w:val="0"/>
          <w:marTop w:val="100"/>
          <w:marBottom w:val="0"/>
          <w:divBdr>
            <w:top w:val="none" w:sz="0" w:space="0" w:color="auto"/>
            <w:left w:val="none" w:sz="0" w:space="0" w:color="auto"/>
            <w:bottom w:val="none" w:sz="0" w:space="0" w:color="auto"/>
            <w:right w:val="none" w:sz="0" w:space="0" w:color="auto"/>
          </w:divBdr>
        </w:div>
        <w:div w:id="1983732293">
          <w:marLeft w:val="446"/>
          <w:marRight w:val="0"/>
          <w:marTop w:val="100"/>
          <w:marBottom w:val="0"/>
          <w:divBdr>
            <w:top w:val="none" w:sz="0" w:space="0" w:color="auto"/>
            <w:left w:val="none" w:sz="0" w:space="0" w:color="auto"/>
            <w:bottom w:val="none" w:sz="0" w:space="0" w:color="auto"/>
            <w:right w:val="none" w:sz="0" w:space="0" w:color="auto"/>
          </w:divBdr>
        </w:div>
        <w:div w:id="819493837">
          <w:marLeft w:val="734"/>
          <w:marRight w:val="0"/>
          <w:marTop w:val="100"/>
          <w:marBottom w:val="0"/>
          <w:divBdr>
            <w:top w:val="none" w:sz="0" w:space="0" w:color="auto"/>
            <w:left w:val="none" w:sz="0" w:space="0" w:color="auto"/>
            <w:bottom w:val="none" w:sz="0" w:space="0" w:color="auto"/>
            <w:right w:val="none" w:sz="0" w:space="0" w:color="auto"/>
          </w:divBdr>
        </w:div>
        <w:div w:id="1634557720">
          <w:marLeft w:val="446"/>
          <w:marRight w:val="0"/>
          <w:marTop w:val="100"/>
          <w:marBottom w:val="0"/>
          <w:divBdr>
            <w:top w:val="none" w:sz="0" w:space="0" w:color="auto"/>
            <w:left w:val="none" w:sz="0" w:space="0" w:color="auto"/>
            <w:bottom w:val="none" w:sz="0" w:space="0" w:color="auto"/>
            <w:right w:val="none" w:sz="0" w:space="0" w:color="auto"/>
          </w:divBdr>
        </w:div>
      </w:divsChild>
    </w:div>
    <w:div w:id="803546791">
      <w:bodyDiv w:val="1"/>
      <w:marLeft w:val="0"/>
      <w:marRight w:val="0"/>
      <w:marTop w:val="0"/>
      <w:marBottom w:val="0"/>
      <w:divBdr>
        <w:top w:val="none" w:sz="0" w:space="0" w:color="auto"/>
        <w:left w:val="none" w:sz="0" w:space="0" w:color="auto"/>
        <w:bottom w:val="none" w:sz="0" w:space="0" w:color="auto"/>
        <w:right w:val="none" w:sz="0" w:space="0" w:color="auto"/>
      </w:divBdr>
    </w:div>
    <w:div w:id="803698428">
      <w:bodyDiv w:val="1"/>
      <w:marLeft w:val="0"/>
      <w:marRight w:val="0"/>
      <w:marTop w:val="0"/>
      <w:marBottom w:val="0"/>
      <w:divBdr>
        <w:top w:val="none" w:sz="0" w:space="0" w:color="auto"/>
        <w:left w:val="none" w:sz="0" w:space="0" w:color="auto"/>
        <w:bottom w:val="none" w:sz="0" w:space="0" w:color="auto"/>
        <w:right w:val="none" w:sz="0" w:space="0" w:color="auto"/>
      </w:divBdr>
    </w:div>
    <w:div w:id="820149040">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44831399">
      <w:bodyDiv w:val="1"/>
      <w:marLeft w:val="0"/>
      <w:marRight w:val="0"/>
      <w:marTop w:val="0"/>
      <w:marBottom w:val="0"/>
      <w:divBdr>
        <w:top w:val="none" w:sz="0" w:space="0" w:color="auto"/>
        <w:left w:val="none" w:sz="0" w:space="0" w:color="auto"/>
        <w:bottom w:val="none" w:sz="0" w:space="0" w:color="auto"/>
        <w:right w:val="none" w:sz="0" w:space="0" w:color="auto"/>
      </w:divBdr>
    </w:div>
    <w:div w:id="857159191">
      <w:bodyDiv w:val="1"/>
      <w:marLeft w:val="0"/>
      <w:marRight w:val="0"/>
      <w:marTop w:val="0"/>
      <w:marBottom w:val="0"/>
      <w:divBdr>
        <w:top w:val="none" w:sz="0" w:space="0" w:color="auto"/>
        <w:left w:val="none" w:sz="0" w:space="0" w:color="auto"/>
        <w:bottom w:val="none" w:sz="0" w:space="0" w:color="auto"/>
        <w:right w:val="none" w:sz="0" w:space="0" w:color="auto"/>
      </w:divBdr>
    </w:div>
    <w:div w:id="866286417">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69145078">
      <w:bodyDiv w:val="1"/>
      <w:marLeft w:val="0"/>
      <w:marRight w:val="0"/>
      <w:marTop w:val="0"/>
      <w:marBottom w:val="0"/>
      <w:divBdr>
        <w:top w:val="none" w:sz="0" w:space="0" w:color="auto"/>
        <w:left w:val="none" w:sz="0" w:space="0" w:color="auto"/>
        <w:bottom w:val="none" w:sz="0" w:space="0" w:color="auto"/>
        <w:right w:val="none" w:sz="0" w:space="0" w:color="auto"/>
      </w:divBdr>
    </w:div>
    <w:div w:id="881751046">
      <w:bodyDiv w:val="1"/>
      <w:marLeft w:val="0"/>
      <w:marRight w:val="0"/>
      <w:marTop w:val="0"/>
      <w:marBottom w:val="0"/>
      <w:divBdr>
        <w:top w:val="none" w:sz="0" w:space="0" w:color="auto"/>
        <w:left w:val="none" w:sz="0" w:space="0" w:color="auto"/>
        <w:bottom w:val="none" w:sz="0" w:space="0" w:color="auto"/>
        <w:right w:val="none" w:sz="0" w:space="0" w:color="auto"/>
      </w:divBdr>
    </w:div>
    <w:div w:id="891355176">
      <w:bodyDiv w:val="1"/>
      <w:marLeft w:val="0"/>
      <w:marRight w:val="0"/>
      <w:marTop w:val="0"/>
      <w:marBottom w:val="0"/>
      <w:divBdr>
        <w:top w:val="none" w:sz="0" w:space="0" w:color="auto"/>
        <w:left w:val="none" w:sz="0" w:space="0" w:color="auto"/>
        <w:bottom w:val="none" w:sz="0" w:space="0" w:color="auto"/>
        <w:right w:val="none" w:sz="0" w:space="0" w:color="auto"/>
      </w:divBdr>
    </w:div>
    <w:div w:id="892885126">
      <w:bodyDiv w:val="1"/>
      <w:marLeft w:val="0"/>
      <w:marRight w:val="0"/>
      <w:marTop w:val="0"/>
      <w:marBottom w:val="0"/>
      <w:divBdr>
        <w:top w:val="none" w:sz="0" w:space="0" w:color="auto"/>
        <w:left w:val="none" w:sz="0" w:space="0" w:color="auto"/>
        <w:bottom w:val="none" w:sz="0" w:space="0" w:color="auto"/>
        <w:right w:val="none" w:sz="0" w:space="0" w:color="auto"/>
      </w:divBdr>
    </w:div>
    <w:div w:id="892891796">
      <w:bodyDiv w:val="1"/>
      <w:marLeft w:val="0"/>
      <w:marRight w:val="0"/>
      <w:marTop w:val="0"/>
      <w:marBottom w:val="0"/>
      <w:divBdr>
        <w:top w:val="none" w:sz="0" w:space="0" w:color="auto"/>
        <w:left w:val="none" w:sz="0" w:space="0" w:color="auto"/>
        <w:bottom w:val="none" w:sz="0" w:space="0" w:color="auto"/>
        <w:right w:val="none" w:sz="0" w:space="0" w:color="auto"/>
      </w:divBdr>
    </w:div>
    <w:div w:id="896357801">
      <w:bodyDiv w:val="1"/>
      <w:marLeft w:val="0"/>
      <w:marRight w:val="0"/>
      <w:marTop w:val="0"/>
      <w:marBottom w:val="0"/>
      <w:divBdr>
        <w:top w:val="none" w:sz="0" w:space="0" w:color="auto"/>
        <w:left w:val="none" w:sz="0" w:space="0" w:color="auto"/>
        <w:bottom w:val="none" w:sz="0" w:space="0" w:color="auto"/>
        <w:right w:val="none" w:sz="0" w:space="0" w:color="auto"/>
      </w:divBdr>
    </w:div>
    <w:div w:id="897589387">
      <w:bodyDiv w:val="1"/>
      <w:marLeft w:val="0"/>
      <w:marRight w:val="0"/>
      <w:marTop w:val="0"/>
      <w:marBottom w:val="0"/>
      <w:divBdr>
        <w:top w:val="none" w:sz="0" w:space="0" w:color="auto"/>
        <w:left w:val="none" w:sz="0" w:space="0" w:color="auto"/>
        <w:bottom w:val="none" w:sz="0" w:space="0" w:color="auto"/>
        <w:right w:val="none" w:sz="0" w:space="0" w:color="auto"/>
      </w:divBdr>
    </w:div>
    <w:div w:id="899293105">
      <w:bodyDiv w:val="1"/>
      <w:marLeft w:val="0"/>
      <w:marRight w:val="0"/>
      <w:marTop w:val="0"/>
      <w:marBottom w:val="0"/>
      <w:divBdr>
        <w:top w:val="none" w:sz="0" w:space="0" w:color="auto"/>
        <w:left w:val="none" w:sz="0" w:space="0" w:color="auto"/>
        <w:bottom w:val="none" w:sz="0" w:space="0" w:color="auto"/>
        <w:right w:val="none" w:sz="0" w:space="0" w:color="auto"/>
      </w:divBdr>
    </w:div>
    <w:div w:id="903956639">
      <w:bodyDiv w:val="1"/>
      <w:marLeft w:val="0"/>
      <w:marRight w:val="0"/>
      <w:marTop w:val="0"/>
      <w:marBottom w:val="0"/>
      <w:divBdr>
        <w:top w:val="none" w:sz="0" w:space="0" w:color="auto"/>
        <w:left w:val="none" w:sz="0" w:space="0" w:color="auto"/>
        <w:bottom w:val="none" w:sz="0" w:space="0" w:color="auto"/>
        <w:right w:val="none" w:sz="0" w:space="0" w:color="auto"/>
      </w:divBdr>
    </w:div>
    <w:div w:id="91652507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1642076">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51402106">
      <w:bodyDiv w:val="1"/>
      <w:marLeft w:val="0"/>
      <w:marRight w:val="0"/>
      <w:marTop w:val="0"/>
      <w:marBottom w:val="0"/>
      <w:divBdr>
        <w:top w:val="none" w:sz="0" w:space="0" w:color="auto"/>
        <w:left w:val="none" w:sz="0" w:space="0" w:color="auto"/>
        <w:bottom w:val="none" w:sz="0" w:space="0" w:color="auto"/>
        <w:right w:val="none" w:sz="0" w:space="0" w:color="auto"/>
      </w:divBdr>
    </w:div>
    <w:div w:id="960496122">
      <w:bodyDiv w:val="1"/>
      <w:marLeft w:val="0"/>
      <w:marRight w:val="0"/>
      <w:marTop w:val="0"/>
      <w:marBottom w:val="0"/>
      <w:divBdr>
        <w:top w:val="none" w:sz="0" w:space="0" w:color="auto"/>
        <w:left w:val="none" w:sz="0" w:space="0" w:color="auto"/>
        <w:bottom w:val="none" w:sz="0" w:space="0" w:color="auto"/>
        <w:right w:val="none" w:sz="0" w:space="0" w:color="auto"/>
      </w:divBdr>
    </w:div>
    <w:div w:id="967199347">
      <w:bodyDiv w:val="1"/>
      <w:marLeft w:val="0"/>
      <w:marRight w:val="0"/>
      <w:marTop w:val="0"/>
      <w:marBottom w:val="0"/>
      <w:divBdr>
        <w:top w:val="none" w:sz="0" w:space="0" w:color="auto"/>
        <w:left w:val="none" w:sz="0" w:space="0" w:color="auto"/>
        <w:bottom w:val="none" w:sz="0" w:space="0" w:color="auto"/>
        <w:right w:val="none" w:sz="0" w:space="0" w:color="auto"/>
      </w:divBdr>
    </w:div>
    <w:div w:id="981810674">
      <w:bodyDiv w:val="1"/>
      <w:marLeft w:val="0"/>
      <w:marRight w:val="0"/>
      <w:marTop w:val="0"/>
      <w:marBottom w:val="0"/>
      <w:divBdr>
        <w:top w:val="none" w:sz="0" w:space="0" w:color="auto"/>
        <w:left w:val="none" w:sz="0" w:space="0" w:color="auto"/>
        <w:bottom w:val="none" w:sz="0" w:space="0" w:color="auto"/>
        <w:right w:val="none" w:sz="0" w:space="0" w:color="auto"/>
      </w:divBdr>
    </w:div>
    <w:div w:id="983772441">
      <w:bodyDiv w:val="1"/>
      <w:marLeft w:val="0"/>
      <w:marRight w:val="0"/>
      <w:marTop w:val="0"/>
      <w:marBottom w:val="0"/>
      <w:divBdr>
        <w:top w:val="none" w:sz="0" w:space="0" w:color="auto"/>
        <w:left w:val="none" w:sz="0" w:space="0" w:color="auto"/>
        <w:bottom w:val="none" w:sz="0" w:space="0" w:color="auto"/>
        <w:right w:val="none" w:sz="0" w:space="0" w:color="auto"/>
      </w:divBdr>
    </w:div>
    <w:div w:id="999966873">
      <w:bodyDiv w:val="1"/>
      <w:marLeft w:val="0"/>
      <w:marRight w:val="0"/>
      <w:marTop w:val="0"/>
      <w:marBottom w:val="0"/>
      <w:divBdr>
        <w:top w:val="none" w:sz="0" w:space="0" w:color="auto"/>
        <w:left w:val="none" w:sz="0" w:space="0" w:color="auto"/>
        <w:bottom w:val="none" w:sz="0" w:space="0" w:color="auto"/>
        <w:right w:val="none" w:sz="0" w:space="0" w:color="auto"/>
      </w:divBdr>
    </w:div>
    <w:div w:id="1009604935">
      <w:bodyDiv w:val="1"/>
      <w:marLeft w:val="0"/>
      <w:marRight w:val="0"/>
      <w:marTop w:val="0"/>
      <w:marBottom w:val="0"/>
      <w:divBdr>
        <w:top w:val="none" w:sz="0" w:space="0" w:color="auto"/>
        <w:left w:val="none" w:sz="0" w:space="0" w:color="auto"/>
        <w:bottom w:val="none" w:sz="0" w:space="0" w:color="auto"/>
        <w:right w:val="none" w:sz="0" w:space="0" w:color="auto"/>
      </w:divBdr>
    </w:div>
    <w:div w:id="1010789739">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16493835">
      <w:bodyDiv w:val="1"/>
      <w:marLeft w:val="0"/>
      <w:marRight w:val="0"/>
      <w:marTop w:val="0"/>
      <w:marBottom w:val="0"/>
      <w:divBdr>
        <w:top w:val="none" w:sz="0" w:space="0" w:color="auto"/>
        <w:left w:val="none" w:sz="0" w:space="0" w:color="auto"/>
        <w:bottom w:val="none" w:sz="0" w:space="0" w:color="auto"/>
        <w:right w:val="none" w:sz="0" w:space="0" w:color="auto"/>
      </w:divBdr>
    </w:div>
    <w:div w:id="1016494829">
      <w:bodyDiv w:val="1"/>
      <w:marLeft w:val="0"/>
      <w:marRight w:val="0"/>
      <w:marTop w:val="0"/>
      <w:marBottom w:val="0"/>
      <w:divBdr>
        <w:top w:val="none" w:sz="0" w:space="0" w:color="auto"/>
        <w:left w:val="none" w:sz="0" w:space="0" w:color="auto"/>
        <w:bottom w:val="none" w:sz="0" w:space="0" w:color="auto"/>
        <w:right w:val="none" w:sz="0" w:space="0" w:color="auto"/>
      </w:divBdr>
    </w:div>
    <w:div w:id="1019889589">
      <w:bodyDiv w:val="1"/>
      <w:marLeft w:val="0"/>
      <w:marRight w:val="0"/>
      <w:marTop w:val="0"/>
      <w:marBottom w:val="0"/>
      <w:divBdr>
        <w:top w:val="none" w:sz="0" w:space="0" w:color="auto"/>
        <w:left w:val="none" w:sz="0" w:space="0" w:color="auto"/>
        <w:bottom w:val="none" w:sz="0" w:space="0" w:color="auto"/>
        <w:right w:val="none" w:sz="0" w:space="0" w:color="auto"/>
      </w:divBdr>
    </w:div>
    <w:div w:id="1024475592">
      <w:bodyDiv w:val="1"/>
      <w:marLeft w:val="0"/>
      <w:marRight w:val="0"/>
      <w:marTop w:val="0"/>
      <w:marBottom w:val="0"/>
      <w:divBdr>
        <w:top w:val="none" w:sz="0" w:space="0" w:color="auto"/>
        <w:left w:val="none" w:sz="0" w:space="0" w:color="auto"/>
        <w:bottom w:val="none" w:sz="0" w:space="0" w:color="auto"/>
        <w:right w:val="none" w:sz="0" w:space="0" w:color="auto"/>
      </w:divBdr>
    </w:div>
    <w:div w:id="102860642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51073199">
      <w:bodyDiv w:val="1"/>
      <w:marLeft w:val="0"/>
      <w:marRight w:val="0"/>
      <w:marTop w:val="0"/>
      <w:marBottom w:val="0"/>
      <w:divBdr>
        <w:top w:val="none" w:sz="0" w:space="0" w:color="auto"/>
        <w:left w:val="none" w:sz="0" w:space="0" w:color="auto"/>
        <w:bottom w:val="none" w:sz="0" w:space="0" w:color="auto"/>
        <w:right w:val="none" w:sz="0" w:space="0" w:color="auto"/>
      </w:divBdr>
    </w:div>
    <w:div w:id="1054890288">
      <w:bodyDiv w:val="1"/>
      <w:marLeft w:val="0"/>
      <w:marRight w:val="0"/>
      <w:marTop w:val="0"/>
      <w:marBottom w:val="0"/>
      <w:divBdr>
        <w:top w:val="none" w:sz="0" w:space="0" w:color="auto"/>
        <w:left w:val="none" w:sz="0" w:space="0" w:color="auto"/>
        <w:bottom w:val="none" w:sz="0" w:space="0" w:color="auto"/>
        <w:right w:val="none" w:sz="0" w:space="0" w:color="auto"/>
      </w:divBdr>
    </w:div>
    <w:div w:id="1073045599">
      <w:bodyDiv w:val="1"/>
      <w:marLeft w:val="0"/>
      <w:marRight w:val="0"/>
      <w:marTop w:val="0"/>
      <w:marBottom w:val="0"/>
      <w:divBdr>
        <w:top w:val="none" w:sz="0" w:space="0" w:color="auto"/>
        <w:left w:val="none" w:sz="0" w:space="0" w:color="auto"/>
        <w:bottom w:val="none" w:sz="0" w:space="0" w:color="auto"/>
        <w:right w:val="none" w:sz="0" w:space="0" w:color="auto"/>
      </w:divBdr>
    </w:div>
    <w:div w:id="1082409164">
      <w:bodyDiv w:val="1"/>
      <w:marLeft w:val="0"/>
      <w:marRight w:val="0"/>
      <w:marTop w:val="0"/>
      <w:marBottom w:val="0"/>
      <w:divBdr>
        <w:top w:val="none" w:sz="0" w:space="0" w:color="auto"/>
        <w:left w:val="none" w:sz="0" w:space="0" w:color="auto"/>
        <w:bottom w:val="none" w:sz="0" w:space="0" w:color="auto"/>
        <w:right w:val="none" w:sz="0" w:space="0" w:color="auto"/>
      </w:divBdr>
    </w:div>
    <w:div w:id="1087769212">
      <w:bodyDiv w:val="1"/>
      <w:marLeft w:val="0"/>
      <w:marRight w:val="0"/>
      <w:marTop w:val="0"/>
      <w:marBottom w:val="0"/>
      <w:divBdr>
        <w:top w:val="none" w:sz="0" w:space="0" w:color="auto"/>
        <w:left w:val="none" w:sz="0" w:space="0" w:color="auto"/>
        <w:bottom w:val="none" w:sz="0" w:space="0" w:color="auto"/>
        <w:right w:val="none" w:sz="0" w:space="0" w:color="auto"/>
      </w:divBdr>
    </w:div>
    <w:div w:id="1091858327">
      <w:bodyDiv w:val="1"/>
      <w:marLeft w:val="0"/>
      <w:marRight w:val="0"/>
      <w:marTop w:val="0"/>
      <w:marBottom w:val="0"/>
      <w:divBdr>
        <w:top w:val="none" w:sz="0" w:space="0" w:color="auto"/>
        <w:left w:val="none" w:sz="0" w:space="0" w:color="auto"/>
        <w:bottom w:val="none" w:sz="0" w:space="0" w:color="auto"/>
        <w:right w:val="none" w:sz="0" w:space="0" w:color="auto"/>
      </w:divBdr>
    </w:div>
    <w:div w:id="1093361815">
      <w:bodyDiv w:val="1"/>
      <w:marLeft w:val="0"/>
      <w:marRight w:val="0"/>
      <w:marTop w:val="0"/>
      <w:marBottom w:val="0"/>
      <w:divBdr>
        <w:top w:val="none" w:sz="0" w:space="0" w:color="auto"/>
        <w:left w:val="none" w:sz="0" w:space="0" w:color="auto"/>
        <w:bottom w:val="none" w:sz="0" w:space="0" w:color="auto"/>
        <w:right w:val="none" w:sz="0" w:space="0" w:color="auto"/>
      </w:divBdr>
    </w:div>
    <w:div w:id="109342882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095130908">
      <w:bodyDiv w:val="1"/>
      <w:marLeft w:val="0"/>
      <w:marRight w:val="0"/>
      <w:marTop w:val="0"/>
      <w:marBottom w:val="0"/>
      <w:divBdr>
        <w:top w:val="none" w:sz="0" w:space="0" w:color="auto"/>
        <w:left w:val="none" w:sz="0" w:space="0" w:color="auto"/>
        <w:bottom w:val="none" w:sz="0" w:space="0" w:color="auto"/>
        <w:right w:val="none" w:sz="0" w:space="0" w:color="auto"/>
      </w:divBdr>
    </w:div>
    <w:div w:id="1103233250">
      <w:bodyDiv w:val="1"/>
      <w:marLeft w:val="0"/>
      <w:marRight w:val="0"/>
      <w:marTop w:val="0"/>
      <w:marBottom w:val="0"/>
      <w:divBdr>
        <w:top w:val="none" w:sz="0" w:space="0" w:color="auto"/>
        <w:left w:val="none" w:sz="0" w:space="0" w:color="auto"/>
        <w:bottom w:val="none" w:sz="0" w:space="0" w:color="auto"/>
        <w:right w:val="none" w:sz="0" w:space="0" w:color="auto"/>
      </w:divBdr>
    </w:div>
    <w:div w:id="1104961961">
      <w:bodyDiv w:val="1"/>
      <w:marLeft w:val="0"/>
      <w:marRight w:val="0"/>
      <w:marTop w:val="0"/>
      <w:marBottom w:val="0"/>
      <w:divBdr>
        <w:top w:val="none" w:sz="0" w:space="0" w:color="auto"/>
        <w:left w:val="none" w:sz="0" w:space="0" w:color="auto"/>
        <w:bottom w:val="none" w:sz="0" w:space="0" w:color="auto"/>
        <w:right w:val="none" w:sz="0" w:space="0" w:color="auto"/>
      </w:divBdr>
    </w:div>
    <w:div w:id="1112479646">
      <w:bodyDiv w:val="1"/>
      <w:marLeft w:val="0"/>
      <w:marRight w:val="0"/>
      <w:marTop w:val="0"/>
      <w:marBottom w:val="0"/>
      <w:divBdr>
        <w:top w:val="none" w:sz="0" w:space="0" w:color="auto"/>
        <w:left w:val="none" w:sz="0" w:space="0" w:color="auto"/>
        <w:bottom w:val="none" w:sz="0" w:space="0" w:color="auto"/>
        <w:right w:val="none" w:sz="0" w:space="0" w:color="auto"/>
      </w:divBdr>
    </w:div>
    <w:div w:id="1119763423">
      <w:bodyDiv w:val="1"/>
      <w:marLeft w:val="0"/>
      <w:marRight w:val="0"/>
      <w:marTop w:val="0"/>
      <w:marBottom w:val="0"/>
      <w:divBdr>
        <w:top w:val="none" w:sz="0" w:space="0" w:color="auto"/>
        <w:left w:val="none" w:sz="0" w:space="0" w:color="auto"/>
        <w:bottom w:val="none" w:sz="0" w:space="0" w:color="auto"/>
        <w:right w:val="none" w:sz="0" w:space="0" w:color="auto"/>
      </w:divBdr>
    </w:div>
    <w:div w:id="1120756386">
      <w:bodyDiv w:val="1"/>
      <w:marLeft w:val="0"/>
      <w:marRight w:val="0"/>
      <w:marTop w:val="0"/>
      <w:marBottom w:val="0"/>
      <w:divBdr>
        <w:top w:val="none" w:sz="0" w:space="0" w:color="auto"/>
        <w:left w:val="none" w:sz="0" w:space="0" w:color="auto"/>
        <w:bottom w:val="none" w:sz="0" w:space="0" w:color="auto"/>
        <w:right w:val="none" w:sz="0" w:space="0" w:color="auto"/>
      </w:divBdr>
    </w:div>
    <w:div w:id="1123578142">
      <w:bodyDiv w:val="1"/>
      <w:marLeft w:val="0"/>
      <w:marRight w:val="0"/>
      <w:marTop w:val="0"/>
      <w:marBottom w:val="0"/>
      <w:divBdr>
        <w:top w:val="none" w:sz="0" w:space="0" w:color="auto"/>
        <w:left w:val="none" w:sz="0" w:space="0" w:color="auto"/>
        <w:bottom w:val="none" w:sz="0" w:space="0" w:color="auto"/>
        <w:right w:val="none" w:sz="0" w:space="0" w:color="auto"/>
      </w:divBdr>
    </w:div>
    <w:div w:id="1136529142">
      <w:bodyDiv w:val="1"/>
      <w:marLeft w:val="0"/>
      <w:marRight w:val="0"/>
      <w:marTop w:val="0"/>
      <w:marBottom w:val="0"/>
      <w:divBdr>
        <w:top w:val="none" w:sz="0" w:space="0" w:color="auto"/>
        <w:left w:val="none" w:sz="0" w:space="0" w:color="auto"/>
        <w:bottom w:val="none" w:sz="0" w:space="0" w:color="auto"/>
        <w:right w:val="none" w:sz="0" w:space="0" w:color="auto"/>
      </w:divBdr>
    </w:div>
    <w:div w:id="1138378108">
      <w:bodyDiv w:val="1"/>
      <w:marLeft w:val="0"/>
      <w:marRight w:val="0"/>
      <w:marTop w:val="0"/>
      <w:marBottom w:val="0"/>
      <w:divBdr>
        <w:top w:val="none" w:sz="0" w:space="0" w:color="auto"/>
        <w:left w:val="none" w:sz="0" w:space="0" w:color="auto"/>
        <w:bottom w:val="none" w:sz="0" w:space="0" w:color="auto"/>
        <w:right w:val="none" w:sz="0" w:space="0" w:color="auto"/>
      </w:divBdr>
    </w:div>
    <w:div w:id="1144589946">
      <w:bodyDiv w:val="1"/>
      <w:marLeft w:val="0"/>
      <w:marRight w:val="0"/>
      <w:marTop w:val="0"/>
      <w:marBottom w:val="0"/>
      <w:divBdr>
        <w:top w:val="none" w:sz="0" w:space="0" w:color="auto"/>
        <w:left w:val="none" w:sz="0" w:space="0" w:color="auto"/>
        <w:bottom w:val="none" w:sz="0" w:space="0" w:color="auto"/>
        <w:right w:val="none" w:sz="0" w:space="0" w:color="auto"/>
      </w:divBdr>
    </w:div>
    <w:div w:id="1152911959">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7893474">
      <w:bodyDiv w:val="1"/>
      <w:marLeft w:val="0"/>
      <w:marRight w:val="0"/>
      <w:marTop w:val="0"/>
      <w:marBottom w:val="0"/>
      <w:divBdr>
        <w:top w:val="none" w:sz="0" w:space="0" w:color="auto"/>
        <w:left w:val="none" w:sz="0" w:space="0" w:color="auto"/>
        <w:bottom w:val="none" w:sz="0" w:space="0" w:color="auto"/>
        <w:right w:val="none" w:sz="0" w:space="0" w:color="auto"/>
      </w:divBdr>
    </w:div>
    <w:div w:id="1216356087">
      <w:bodyDiv w:val="1"/>
      <w:marLeft w:val="0"/>
      <w:marRight w:val="0"/>
      <w:marTop w:val="0"/>
      <w:marBottom w:val="0"/>
      <w:divBdr>
        <w:top w:val="none" w:sz="0" w:space="0" w:color="auto"/>
        <w:left w:val="none" w:sz="0" w:space="0" w:color="auto"/>
        <w:bottom w:val="none" w:sz="0" w:space="0" w:color="auto"/>
        <w:right w:val="none" w:sz="0" w:space="0" w:color="auto"/>
      </w:divBdr>
    </w:div>
    <w:div w:id="1219508619">
      <w:bodyDiv w:val="1"/>
      <w:marLeft w:val="0"/>
      <w:marRight w:val="0"/>
      <w:marTop w:val="0"/>
      <w:marBottom w:val="0"/>
      <w:divBdr>
        <w:top w:val="none" w:sz="0" w:space="0" w:color="auto"/>
        <w:left w:val="none" w:sz="0" w:space="0" w:color="auto"/>
        <w:bottom w:val="none" w:sz="0" w:space="0" w:color="auto"/>
        <w:right w:val="none" w:sz="0" w:space="0" w:color="auto"/>
      </w:divBdr>
    </w:div>
    <w:div w:id="1225876823">
      <w:bodyDiv w:val="1"/>
      <w:marLeft w:val="0"/>
      <w:marRight w:val="0"/>
      <w:marTop w:val="0"/>
      <w:marBottom w:val="0"/>
      <w:divBdr>
        <w:top w:val="none" w:sz="0" w:space="0" w:color="auto"/>
        <w:left w:val="none" w:sz="0" w:space="0" w:color="auto"/>
        <w:bottom w:val="none" w:sz="0" w:space="0" w:color="auto"/>
        <w:right w:val="none" w:sz="0" w:space="0" w:color="auto"/>
      </w:divBdr>
    </w:div>
    <w:div w:id="1230383460">
      <w:bodyDiv w:val="1"/>
      <w:marLeft w:val="0"/>
      <w:marRight w:val="0"/>
      <w:marTop w:val="0"/>
      <w:marBottom w:val="0"/>
      <w:divBdr>
        <w:top w:val="none" w:sz="0" w:space="0" w:color="auto"/>
        <w:left w:val="none" w:sz="0" w:space="0" w:color="auto"/>
        <w:bottom w:val="none" w:sz="0" w:space="0" w:color="auto"/>
        <w:right w:val="none" w:sz="0" w:space="0" w:color="auto"/>
      </w:divBdr>
    </w:div>
    <w:div w:id="1242527458">
      <w:bodyDiv w:val="1"/>
      <w:marLeft w:val="0"/>
      <w:marRight w:val="0"/>
      <w:marTop w:val="0"/>
      <w:marBottom w:val="0"/>
      <w:divBdr>
        <w:top w:val="none" w:sz="0" w:space="0" w:color="auto"/>
        <w:left w:val="none" w:sz="0" w:space="0" w:color="auto"/>
        <w:bottom w:val="none" w:sz="0" w:space="0" w:color="auto"/>
        <w:right w:val="none" w:sz="0" w:space="0" w:color="auto"/>
      </w:divBdr>
    </w:div>
    <w:div w:id="124376167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67467436">
      <w:bodyDiv w:val="1"/>
      <w:marLeft w:val="0"/>
      <w:marRight w:val="0"/>
      <w:marTop w:val="0"/>
      <w:marBottom w:val="0"/>
      <w:divBdr>
        <w:top w:val="none" w:sz="0" w:space="0" w:color="auto"/>
        <w:left w:val="none" w:sz="0" w:space="0" w:color="auto"/>
        <w:bottom w:val="none" w:sz="0" w:space="0" w:color="auto"/>
        <w:right w:val="none" w:sz="0" w:space="0" w:color="auto"/>
      </w:divBdr>
    </w:div>
    <w:div w:id="1275094201">
      <w:bodyDiv w:val="1"/>
      <w:marLeft w:val="0"/>
      <w:marRight w:val="0"/>
      <w:marTop w:val="0"/>
      <w:marBottom w:val="0"/>
      <w:divBdr>
        <w:top w:val="none" w:sz="0" w:space="0" w:color="auto"/>
        <w:left w:val="none" w:sz="0" w:space="0" w:color="auto"/>
        <w:bottom w:val="none" w:sz="0" w:space="0" w:color="auto"/>
        <w:right w:val="none" w:sz="0" w:space="0" w:color="auto"/>
      </w:divBdr>
    </w:div>
    <w:div w:id="1275288634">
      <w:bodyDiv w:val="1"/>
      <w:marLeft w:val="0"/>
      <w:marRight w:val="0"/>
      <w:marTop w:val="0"/>
      <w:marBottom w:val="0"/>
      <w:divBdr>
        <w:top w:val="none" w:sz="0" w:space="0" w:color="auto"/>
        <w:left w:val="none" w:sz="0" w:space="0" w:color="auto"/>
        <w:bottom w:val="none" w:sz="0" w:space="0" w:color="auto"/>
        <w:right w:val="none" w:sz="0" w:space="0" w:color="auto"/>
      </w:divBdr>
    </w:div>
    <w:div w:id="1276136074">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
    <w:div w:id="1300845845">
      <w:bodyDiv w:val="1"/>
      <w:marLeft w:val="0"/>
      <w:marRight w:val="0"/>
      <w:marTop w:val="0"/>
      <w:marBottom w:val="0"/>
      <w:divBdr>
        <w:top w:val="none" w:sz="0" w:space="0" w:color="auto"/>
        <w:left w:val="none" w:sz="0" w:space="0" w:color="auto"/>
        <w:bottom w:val="none" w:sz="0" w:space="0" w:color="auto"/>
        <w:right w:val="none" w:sz="0" w:space="0" w:color="auto"/>
      </w:divBdr>
    </w:div>
    <w:div w:id="1312564320">
      <w:bodyDiv w:val="1"/>
      <w:marLeft w:val="0"/>
      <w:marRight w:val="0"/>
      <w:marTop w:val="0"/>
      <w:marBottom w:val="0"/>
      <w:divBdr>
        <w:top w:val="none" w:sz="0" w:space="0" w:color="auto"/>
        <w:left w:val="none" w:sz="0" w:space="0" w:color="auto"/>
        <w:bottom w:val="none" w:sz="0" w:space="0" w:color="auto"/>
        <w:right w:val="none" w:sz="0" w:space="0" w:color="auto"/>
      </w:divBdr>
    </w:div>
    <w:div w:id="1320698209">
      <w:bodyDiv w:val="1"/>
      <w:marLeft w:val="0"/>
      <w:marRight w:val="0"/>
      <w:marTop w:val="0"/>
      <w:marBottom w:val="0"/>
      <w:divBdr>
        <w:top w:val="none" w:sz="0" w:space="0" w:color="auto"/>
        <w:left w:val="none" w:sz="0" w:space="0" w:color="auto"/>
        <w:bottom w:val="none" w:sz="0" w:space="0" w:color="auto"/>
        <w:right w:val="none" w:sz="0" w:space="0" w:color="auto"/>
      </w:divBdr>
    </w:div>
    <w:div w:id="1325084061">
      <w:bodyDiv w:val="1"/>
      <w:marLeft w:val="0"/>
      <w:marRight w:val="0"/>
      <w:marTop w:val="0"/>
      <w:marBottom w:val="0"/>
      <w:divBdr>
        <w:top w:val="none" w:sz="0" w:space="0" w:color="auto"/>
        <w:left w:val="none" w:sz="0" w:space="0" w:color="auto"/>
        <w:bottom w:val="none" w:sz="0" w:space="0" w:color="auto"/>
        <w:right w:val="none" w:sz="0" w:space="0" w:color="auto"/>
      </w:divBdr>
    </w:div>
    <w:div w:id="1325624401">
      <w:bodyDiv w:val="1"/>
      <w:marLeft w:val="0"/>
      <w:marRight w:val="0"/>
      <w:marTop w:val="0"/>
      <w:marBottom w:val="0"/>
      <w:divBdr>
        <w:top w:val="none" w:sz="0" w:space="0" w:color="auto"/>
        <w:left w:val="none" w:sz="0" w:space="0" w:color="auto"/>
        <w:bottom w:val="none" w:sz="0" w:space="0" w:color="auto"/>
        <w:right w:val="none" w:sz="0" w:space="0" w:color="auto"/>
      </w:divBdr>
    </w:div>
    <w:div w:id="1328246407">
      <w:bodyDiv w:val="1"/>
      <w:marLeft w:val="0"/>
      <w:marRight w:val="0"/>
      <w:marTop w:val="0"/>
      <w:marBottom w:val="0"/>
      <w:divBdr>
        <w:top w:val="none" w:sz="0" w:space="0" w:color="auto"/>
        <w:left w:val="none" w:sz="0" w:space="0" w:color="auto"/>
        <w:bottom w:val="none" w:sz="0" w:space="0" w:color="auto"/>
        <w:right w:val="none" w:sz="0" w:space="0" w:color="auto"/>
      </w:divBdr>
    </w:div>
    <w:div w:id="1336608428">
      <w:bodyDiv w:val="1"/>
      <w:marLeft w:val="0"/>
      <w:marRight w:val="0"/>
      <w:marTop w:val="0"/>
      <w:marBottom w:val="0"/>
      <w:divBdr>
        <w:top w:val="none" w:sz="0" w:space="0" w:color="auto"/>
        <w:left w:val="none" w:sz="0" w:space="0" w:color="auto"/>
        <w:bottom w:val="none" w:sz="0" w:space="0" w:color="auto"/>
        <w:right w:val="none" w:sz="0" w:space="0" w:color="auto"/>
      </w:divBdr>
    </w:div>
    <w:div w:id="1344864512">
      <w:bodyDiv w:val="1"/>
      <w:marLeft w:val="0"/>
      <w:marRight w:val="0"/>
      <w:marTop w:val="0"/>
      <w:marBottom w:val="0"/>
      <w:divBdr>
        <w:top w:val="none" w:sz="0" w:space="0" w:color="auto"/>
        <w:left w:val="none" w:sz="0" w:space="0" w:color="auto"/>
        <w:bottom w:val="none" w:sz="0" w:space="0" w:color="auto"/>
        <w:right w:val="none" w:sz="0" w:space="0" w:color="auto"/>
      </w:divBdr>
    </w:div>
    <w:div w:id="1346206978">
      <w:bodyDiv w:val="1"/>
      <w:marLeft w:val="0"/>
      <w:marRight w:val="0"/>
      <w:marTop w:val="0"/>
      <w:marBottom w:val="0"/>
      <w:divBdr>
        <w:top w:val="none" w:sz="0" w:space="0" w:color="auto"/>
        <w:left w:val="none" w:sz="0" w:space="0" w:color="auto"/>
        <w:bottom w:val="none" w:sz="0" w:space="0" w:color="auto"/>
        <w:right w:val="none" w:sz="0" w:space="0" w:color="auto"/>
      </w:divBdr>
    </w:div>
    <w:div w:id="1356345862">
      <w:bodyDiv w:val="1"/>
      <w:marLeft w:val="0"/>
      <w:marRight w:val="0"/>
      <w:marTop w:val="0"/>
      <w:marBottom w:val="0"/>
      <w:divBdr>
        <w:top w:val="none" w:sz="0" w:space="0" w:color="auto"/>
        <w:left w:val="none" w:sz="0" w:space="0" w:color="auto"/>
        <w:bottom w:val="none" w:sz="0" w:space="0" w:color="auto"/>
        <w:right w:val="none" w:sz="0" w:space="0" w:color="auto"/>
      </w:divBdr>
    </w:div>
    <w:div w:id="1358584346">
      <w:bodyDiv w:val="1"/>
      <w:marLeft w:val="0"/>
      <w:marRight w:val="0"/>
      <w:marTop w:val="0"/>
      <w:marBottom w:val="0"/>
      <w:divBdr>
        <w:top w:val="none" w:sz="0" w:space="0" w:color="auto"/>
        <w:left w:val="none" w:sz="0" w:space="0" w:color="auto"/>
        <w:bottom w:val="none" w:sz="0" w:space="0" w:color="auto"/>
        <w:right w:val="none" w:sz="0" w:space="0" w:color="auto"/>
      </w:divBdr>
    </w:div>
    <w:div w:id="1360625585">
      <w:bodyDiv w:val="1"/>
      <w:marLeft w:val="0"/>
      <w:marRight w:val="0"/>
      <w:marTop w:val="0"/>
      <w:marBottom w:val="0"/>
      <w:divBdr>
        <w:top w:val="none" w:sz="0" w:space="0" w:color="auto"/>
        <w:left w:val="none" w:sz="0" w:space="0" w:color="auto"/>
        <w:bottom w:val="none" w:sz="0" w:space="0" w:color="auto"/>
        <w:right w:val="none" w:sz="0" w:space="0" w:color="auto"/>
      </w:divBdr>
    </w:div>
    <w:div w:id="1392464223">
      <w:bodyDiv w:val="1"/>
      <w:marLeft w:val="0"/>
      <w:marRight w:val="0"/>
      <w:marTop w:val="0"/>
      <w:marBottom w:val="0"/>
      <w:divBdr>
        <w:top w:val="none" w:sz="0" w:space="0" w:color="auto"/>
        <w:left w:val="none" w:sz="0" w:space="0" w:color="auto"/>
        <w:bottom w:val="none" w:sz="0" w:space="0" w:color="auto"/>
        <w:right w:val="none" w:sz="0" w:space="0" w:color="auto"/>
      </w:divBdr>
    </w:div>
    <w:div w:id="1400789399">
      <w:bodyDiv w:val="1"/>
      <w:marLeft w:val="0"/>
      <w:marRight w:val="0"/>
      <w:marTop w:val="0"/>
      <w:marBottom w:val="0"/>
      <w:divBdr>
        <w:top w:val="none" w:sz="0" w:space="0" w:color="auto"/>
        <w:left w:val="none" w:sz="0" w:space="0" w:color="auto"/>
        <w:bottom w:val="none" w:sz="0" w:space="0" w:color="auto"/>
        <w:right w:val="none" w:sz="0" w:space="0" w:color="auto"/>
      </w:divBdr>
    </w:div>
    <w:div w:id="1403679236">
      <w:bodyDiv w:val="1"/>
      <w:marLeft w:val="0"/>
      <w:marRight w:val="0"/>
      <w:marTop w:val="0"/>
      <w:marBottom w:val="0"/>
      <w:divBdr>
        <w:top w:val="none" w:sz="0" w:space="0" w:color="auto"/>
        <w:left w:val="none" w:sz="0" w:space="0" w:color="auto"/>
        <w:bottom w:val="none" w:sz="0" w:space="0" w:color="auto"/>
        <w:right w:val="none" w:sz="0" w:space="0" w:color="auto"/>
      </w:divBdr>
    </w:div>
    <w:div w:id="1403718683">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47584555">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4865680">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71168797">
      <w:bodyDiv w:val="1"/>
      <w:marLeft w:val="0"/>
      <w:marRight w:val="0"/>
      <w:marTop w:val="0"/>
      <w:marBottom w:val="0"/>
      <w:divBdr>
        <w:top w:val="none" w:sz="0" w:space="0" w:color="auto"/>
        <w:left w:val="none" w:sz="0" w:space="0" w:color="auto"/>
        <w:bottom w:val="none" w:sz="0" w:space="0" w:color="auto"/>
        <w:right w:val="none" w:sz="0" w:space="0" w:color="auto"/>
      </w:divBdr>
    </w:div>
    <w:div w:id="1471245692">
      <w:bodyDiv w:val="1"/>
      <w:marLeft w:val="0"/>
      <w:marRight w:val="0"/>
      <w:marTop w:val="0"/>
      <w:marBottom w:val="0"/>
      <w:divBdr>
        <w:top w:val="none" w:sz="0" w:space="0" w:color="auto"/>
        <w:left w:val="none" w:sz="0" w:space="0" w:color="auto"/>
        <w:bottom w:val="none" w:sz="0" w:space="0" w:color="auto"/>
        <w:right w:val="none" w:sz="0" w:space="0" w:color="auto"/>
      </w:divBdr>
    </w:div>
    <w:div w:id="1483544350">
      <w:bodyDiv w:val="1"/>
      <w:marLeft w:val="0"/>
      <w:marRight w:val="0"/>
      <w:marTop w:val="0"/>
      <w:marBottom w:val="0"/>
      <w:divBdr>
        <w:top w:val="none" w:sz="0" w:space="0" w:color="auto"/>
        <w:left w:val="none" w:sz="0" w:space="0" w:color="auto"/>
        <w:bottom w:val="none" w:sz="0" w:space="0" w:color="auto"/>
        <w:right w:val="none" w:sz="0" w:space="0" w:color="auto"/>
      </w:divBdr>
    </w:div>
    <w:div w:id="1484154739">
      <w:bodyDiv w:val="1"/>
      <w:marLeft w:val="0"/>
      <w:marRight w:val="0"/>
      <w:marTop w:val="0"/>
      <w:marBottom w:val="0"/>
      <w:divBdr>
        <w:top w:val="none" w:sz="0" w:space="0" w:color="auto"/>
        <w:left w:val="none" w:sz="0" w:space="0" w:color="auto"/>
        <w:bottom w:val="none" w:sz="0" w:space="0" w:color="auto"/>
        <w:right w:val="none" w:sz="0" w:space="0" w:color="auto"/>
      </w:divBdr>
    </w:div>
    <w:div w:id="1491405224">
      <w:bodyDiv w:val="1"/>
      <w:marLeft w:val="0"/>
      <w:marRight w:val="0"/>
      <w:marTop w:val="0"/>
      <w:marBottom w:val="0"/>
      <w:divBdr>
        <w:top w:val="none" w:sz="0" w:space="0" w:color="auto"/>
        <w:left w:val="none" w:sz="0" w:space="0" w:color="auto"/>
        <w:bottom w:val="none" w:sz="0" w:space="0" w:color="auto"/>
        <w:right w:val="none" w:sz="0" w:space="0" w:color="auto"/>
      </w:divBdr>
    </w:div>
    <w:div w:id="149278974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498375103">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12835885">
      <w:bodyDiv w:val="1"/>
      <w:marLeft w:val="0"/>
      <w:marRight w:val="0"/>
      <w:marTop w:val="0"/>
      <w:marBottom w:val="0"/>
      <w:divBdr>
        <w:top w:val="none" w:sz="0" w:space="0" w:color="auto"/>
        <w:left w:val="none" w:sz="0" w:space="0" w:color="auto"/>
        <w:bottom w:val="none" w:sz="0" w:space="0" w:color="auto"/>
        <w:right w:val="none" w:sz="0" w:space="0" w:color="auto"/>
      </w:divBdr>
    </w:div>
    <w:div w:id="1514035210">
      <w:bodyDiv w:val="1"/>
      <w:marLeft w:val="0"/>
      <w:marRight w:val="0"/>
      <w:marTop w:val="0"/>
      <w:marBottom w:val="0"/>
      <w:divBdr>
        <w:top w:val="none" w:sz="0" w:space="0" w:color="auto"/>
        <w:left w:val="none" w:sz="0" w:space="0" w:color="auto"/>
        <w:bottom w:val="none" w:sz="0" w:space="0" w:color="auto"/>
        <w:right w:val="none" w:sz="0" w:space="0" w:color="auto"/>
      </w:divBdr>
    </w:div>
    <w:div w:id="1519348927">
      <w:bodyDiv w:val="1"/>
      <w:marLeft w:val="0"/>
      <w:marRight w:val="0"/>
      <w:marTop w:val="0"/>
      <w:marBottom w:val="0"/>
      <w:divBdr>
        <w:top w:val="none" w:sz="0" w:space="0" w:color="auto"/>
        <w:left w:val="none" w:sz="0" w:space="0" w:color="auto"/>
        <w:bottom w:val="none" w:sz="0" w:space="0" w:color="auto"/>
        <w:right w:val="none" w:sz="0" w:space="0" w:color="auto"/>
      </w:divBdr>
      <w:divsChild>
        <w:div w:id="1463381943">
          <w:marLeft w:val="446"/>
          <w:marRight w:val="0"/>
          <w:marTop w:val="100"/>
          <w:marBottom w:val="0"/>
          <w:divBdr>
            <w:top w:val="none" w:sz="0" w:space="0" w:color="auto"/>
            <w:left w:val="none" w:sz="0" w:space="0" w:color="auto"/>
            <w:bottom w:val="none" w:sz="0" w:space="0" w:color="auto"/>
            <w:right w:val="none" w:sz="0" w:space="0" w:color="auto"/>
          </w:divBdr>
        </w:div>
      </w:divsChild>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8641085">
      <w:bodyDiv w:val="1"/>
      <w:marLeft w:val="0"/>
      <w:marRight w:val="0"/>
      <w:marTop w:val="0"/>
      <w:marBottom w:val="0"/>
      <w:divBdr>
        <w:top w:val="none" w:sz="0" w:space="0" w:color="auto"/>
        <w:left w:val="none" w:sz="0" w:space="0" w:color="auto"/>
        <w:bottom w:val="none" w:sz="0" w:space="0" w:color="auto"/>
        <w:right w:val="none" w:sz="0" w:space="0" w:color="auto"/>
      </w:divBdr>
    </w:div>
    <w:div w:id="1530492366">
      <w:bodyDiv w:val="1"/>
      <w:marLeft w:val="0"/>
      <w:marRight w:val="0"/>
      <w:marTop w:val="0"/>
      <w:marBottom w:val="0"/>
      <w:divBdr>
        <w:top w:val="none" w:sz="0" w:space="0" w:color="auto"/>
        <w:left w:val="none" w:sz="0" w:space="0" w:color="auto"/>
        <w:bottom w:val="none" w:sz="0" w:space="0" w:color="auto"/>
        <w:right w:val="none" w:sz="0" w:space="0" w:color="auto"/>
      </w:divBdr>
    </w:div>
    <w:div w:id="1535997908">
      <w:bodyDiv w:val="1"/>
      <w:marLeft w:val="0"/>
      <w:marRight w:val="0"/>
      <w:marTop w:val="0"/>
      <w:marBottom w:val="0"/>
      <w:divBdr>
        <w:top w:val="none" w:sz="0" w:space="0" w:color="auto"/>
        <w:left w:val="none" w:sz="0" w:space="0" w:color="auto"/>
        <w:bottom w:val="none" w:sz="0" w:space="0" w:color="auto"/>
        <w:right w:val="none" w:sz="0" w:space="0" w:color="auto"/>
      </w:divBdr>
    </w:div>
    <w:div w:id="1538153389">
      <w:bodyDiv w:val="1"/>
      <w:marLeft w:val="0"/>
      <w:marRight w:val="0"/>
      <w:marTop w:val="0"/>
      <w:marBottom w:val="0"/>
      <w:divBdr>
        <w:top w:val="none" w:sz="0" w:space="0" w:color="auto"/>
        <w:left w:val="none" w:sz="0" w:space="0" w:color="auto"/>
        <w:bottom w:val="none" w:sz="0" w:space="0" w:color="auto"/>
        <w:right w:val="none" w:sz="0" w:space="0" w:color="auto"/>
      </w:divBdr>
      <w:divsChild>
        <w:div w:id="1983003174">
          <w:marLeft w:val="1138"/>
          <w:marRight w:val="0"/>
          <w:marTop w:val="240"/>
          <w:marBottom w:val="0"/>
          <w:divBdr>
            <w:top w:val="none" w:sz="0" w:space="0" w:color="auto"/>
            <w:left w:val="none" w:sz="0" w:space="0" w:color="auto"/>
            <w:bottom w:val="none" w:sz="0" w:space="0" w:color="auto"/>
            <w:right w:val="none" w:sz="0" w:space="0" w:color="auto"/>
          </w:divBdr>
        </w:div>
        <w:div w:id="2095085252">
          <w:marLeft w:val="1512"/>
          <w:marRight w:val="0"/>
          <w:marTop w:val="160"/>
          <w:marBottom w:val="0"/>
          <w:divBdr>
            <w:top w:val="none" w:sz="0" w:space="0" w:color="auto"/>
            <w:left w:val="none" w:sz="0" w:space="0" w:color="auto"/>
            <w:bottom w:val="none" w:sz="0" w:space="0" w:color="auto"/>
            <w:right w:val="none" w:sz="0" w:space="0" w:color="auto"/>
          </w:divBdr>
        </w:div>
        <w:div w:id="1358965182">
          <w:marLeft w:val="1512"/>
          <w:marRight w:val="0"/>
          <w:marTop w:val="160"/>
          <w:marBottom w:val="0"/>
          <w:divBdr>
            <w:top w:val="none" w:sz="0" w:space="0" w:color="auto"/>
            <w:left w:val="none" w:sz="0" w:space="0" w:color="auto"/>
            <w:bottom w:val="none" w:sz="0" w:space="0" w:color="auto"/>
            <w:right w:val="none" w:sz="0" w:space="0" w:color="auto"/>
          </w:divBdr>
        </w:div>
        <w:div w:id="1915702168">
          <w:marLeft w:val="1512"/>
          <w:marRight w:val="0"/>
          <w:marTop w:val="160"/>
          <w:marBottom w:val="0"/>
          <w:divBdr>
            <w:top w:val="none" w:sz="0" w:space="0" w:color="auto"/>
            <w:left w:val="none" w:sz="0" w:space="0" w:color="auto"/>
            <w:bottom w:val="none" w:sz="0" w:space="0" w:color="auto"/>
            <w:right w:val="none" w:sz="0" w:space="0" w:color="auto"/>
          </w:divBdr>
        </w:div>
        <w:div w:id="2056268544">
          <w:marLeft w:val="1138"/>
          <w:marRight w:val="0"/>
          <w:marTop w:val="240"/>
          <w:marBottom w:val="0"/>
          <w:divBdr>
            <w:top w:val="none" w:sz="0" w:space="0" w:color="auto"/>
            <w:left w:val="none" w:sz="0" w:space="0" w:color="auto"/>
            <w:bottom w:val="none" w:sz="0" w:space="0" w:color="auto"/>
            <w:right w:val="none" w:sz="0" w:space="0" w:color="auto"/>
          </w:divBdr>
        </w:div>
        <w:div w:id="1505432275">
          <w:marLeft w:val="1512"/>
          <w:marRight w:val="0"/>
          <w:marTop w:val="160"/>
          <w:marBottom w:val="0"/>
          <w:divBdr>
            <w:top w:val="none" w:sz="0" w:space="0" w:color="auto"/>
            <w:left w:val="none" w:sz="0" w:space="0" w:color="auto"/>
            <w:bottom w:val="none" w:sz="0" w:space="0" w:color="auto"/>
            <w:right w:val="none" w:sz="0" w:space="0" w:color="auto"/>
          </w:divBdr>
        </w:div>
        <w:div w:id="1878395728">
          <w:marLeft w:val="1512"/>
          <w:marRight w:val="0"/>
          <w:marTop w:val="160"/>
          <w:marBottom w:val="0"/>
          <w:divBdr>
            <w:top w:val="none" w:sz="0" w:space="0" w:color="auto"/>
            <w:left w:val="none" w:sz="0" w:space="0" w:color="auto"/>
            <w:bottom w:val="none" w:sz="0" w:space="0" w:color="auto"/>
            <w:right w:val="none" w:sz="0" w:space="0" w:color="auto"/>
          </w:divBdr>
        </w:div>
        <w:div w:id="1846018351">
          <w:marLeft w:val="1138"/>
          <w:marRight w:val="0"/>
          <w:marTop w:val="240"/>
          <w:marBottom w:val="0"/>
          <w:divBdr>
            <w:top w:val="none" w:sz="0" w:space="0" w:color="auto"/>
            <w:left w:val="none" w:sz="0" w:space="0" w:color="auto"/>
            <w:bottom w:val="none" w:sz="0" w:space="0" w:color="auto"/>
            <w:right w:val="none" w:sz="0" w:space="0" w:color="auto"/>
          </w:divBdr>
        </w:div>
        <w:div w:id="2051496485">
          <w:marLeft w:val="1138"/>
          <w:marRight w:val="0"/>
          <w:marTop w:val="240"/>
          <w:marBottom w:val="0"/>
          <w:divBdr>
            <w:top w:val="none" w:sz="0" w:space="0" w:color="auto"/>
            <w:left w:val="none" w:sz="0" w:space="0" w:color="auto"/>
            <w:bottom w:val="none" w:sz="0" w:space="0" w:color="auto"/>
            <w:right w:val="none" w:sz="0" w:space="0" w:color="auto"/>
          </w:divBdr>
        </w:div>
      </w:divsChild>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48105096">
      <w:bodyDiv w:val="1"/>
      <w:marLeft w:val="0"/>
      <w:marRight w:val="0"/>
      <w:marTop w:val="0"/>
      <w:marBottom w:val="0"/>
      <w:divBdr>
        <w:top w:val="none" w:sz="0" w:space="0" w:color="auto"/>
        <w:left w:val="none" w:sz="0" w:space="0" w:color="auto"/>
        <w:bottom w:val="none" w:sz="0" w:space="0" w:color="auto"/>
        <w:right w:val="none" w:sz="0" w:space="0" w:color="auto"/>
      </w:divBdr>
    </w:div>
    <w:div w:id="1557161504">
      <w:bodyDiv w:val="1"/>
      <w:marLeft w:val="0"/>
      <w:marRight w:val="0"/>
      <w:marTop w:val="0"/>
      <w:marBottom w:val="0"/>
      <w:divBdr>
        <w:top w:val="none" w:sz="0" w:space="0" w:color="auto"/>
        <w:left w:val="none" w:sz="0" w:space="0" w:color="auto"/>
        <w:bottom w:val="none" w:sz="0" w:space="0" w:color="auto"/>
        <w:right w:val="none" w:sz="0" w:space="0" w:color="auto"/>
      </w:divBdr>
    </w:div>
    <w:div w:id="1584996651">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1332269">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55602677">
      <w:bodyDiv w:val="1"/>
      <w:marLeft w:val="0"/>
      <w:marRight w:val="0"/>
      <w:marTop w:val="0"/>
      <w:marBottom w:val="0"/>
      <w:divBdr>
        <w:top w:val="none" w:sz="0" w:space="0" w:color="auto"/>
        <w:left w:val="none" w:sz="0" w:space="0" w:color="auto"/>
        <w:bottom w:val="none" w:sz="0" w:space="0" w:color="auto"/>
        <w:right w:val="none" w:sz="0" w:space="0" w:color="auto"/>
      </w:divBdr>
    </w:div>
    <w:div w:id="1657566699">
      <w:bodyDiv w:val="1"/>
      <w:marLeft w:val="0"/>
      <w:marRight w:val="0"/>
      <w:marTop w:val="0"/>
      <w:marBottom w:val="0"/>
      <w:divBdr>
        <w:top w:val="none" w:sz="0" w:space="0" w:color="auto"/>
        <w:left w:val="none" w:sz="0" w:space="0" w:color="auto"/>
        <w:bottom w:val="none" w:sz="0" w:space="0" w:color="auto"/>
        <w:right w:val="none" w:sz="0" w:space="0" w:color="auto"/>
      </w:divBdr>
    </w:div>
    <w:div w:id="1666277123">
      <w:bodyDiv w:val="1"/>
      <w:marLeft w:val="0"/>
      <w:marRight w:val="0"/>
      <w:marTop w:val="0"/>
      <w:marBottom w:val="0"/>
      <w:divBdr>
        <w:top w:val="none" w:sz="0" w:space="0" w:color="auto"/>
        <w:left w:val="none" w:sz="0" w:space="0" w:color="auto"/>
        <w:bottom w:val="none" w:sz="0" w:space="0" w:color="auto"/>
        <w:right w:val="none" w:sz="0" w:space="0" w:color="auto"/>
      </w:divBdr>
    </w:div>
    <w:div w:id="1668556779">
      <w:bodyDiv w:val="1"/>
      <w:marLeft w:val="0"/>
      <w:marRight w:val="0"/>
      <w:marTop w:val="0"/>
      <w:marBottom w:val="0"/>
      <w:divBdr>
        <w:top w:val="none" w:sz="0" w:space="0" w:color="auto"/>
        <w:left w:val="none" w:sz="0" w:space="0" w:color="auto"/>
        <w:bottom w:val="none" w:sz="0" w:space="0" w:color="auto"/>
        <w:right w:val="none" w:sz="0" w:space="0" w:color="auto"/>
      </w:divBdr>
    </w:div>
    <w:div w:id="1687639051">
      <w:bodyDiv w:val="1"/>
      <w:marLeft w:val="0"/>
      <w:marRight w:val="0"/>
      <w:marTop w:val="0"/>
      <w:marBottom w:val="0"/>
      <w:divBdr>
        <w:top w:val="none" w:sz="0" w:space="0" w:color="auto"/>
        <w:left w:val="none" w:sz="0" w:space="0" w:color="auto"/>
        <w:bottom w:val="none" w:sz="0" w:space="0" w:color="auto"/>
        <w:right w:val="none" w:sz="0" w:space="0" w:color="auto"/>
      </w:divBdr>
      <w:divsChild>
        <w:div w:id="1418869049">
          <w:marLeft w:val="173"/>
          <w:marRight w:val="0"/>
          <w:marTop w:val="200"/>
          <w:marBottom w:val="0"/>
          <w:divBdr>
            <w:top w:val="none" w:sz="0" w:space="0" w:color="auto"/>
            <w:left w:val="none" w:sz="0" w:space="0" w:color="auto"/>
            <w:bottom w:val="none" w:sz="0" w:space="0" w:color="auto"/>
            <w:right w:val="none" w:sz="0" w:space="0" w:color="auto"/>
          </w:divBdr>
        </w:div>
        <w:div w:id="1189099700">
          <w:marLeft w:val="446"/>
          <w:marRight w:val="0"/>
          <w:marTop w:val="100"/>
          <w:marBottom w:val="0"/>
          <w:divBdr>
            <w:top w:val="none" w:sz="0" w:space="0" w:color="auto"/>
            <w:left w:val="none" w:sz="0" w:space="0" w:color="auto"/>
            <w:bottom w:val="none" w:sz="0" w:space="0" w:color="auto"/>
            <w:right w:val="none" w:sz="0" w:space="0" w:color="auto"/>
          </w:divBdr>
        </w:div>
      </w:divsChild>
    </w:div>
    <w:div w:id="1688747210">
      <w:bodyDiv w:val="1"/>
      <w:marLeft w:val="0"/>
      <w:marRight w:val="0"/>
      <w:marTop w:val="0"/>
      <w:marBottom w:val="0"/>
      <w:divBdr>
        <w:top w:val="none" w:sz="0" w:space="0" w:color="auto"/>
        <w:left w:val="none" w:sz="0" w:space="0" w:color="auto"/>
        <w:bottom w:val="none" w:sz="0" w:space="0" w:color="auto"/>
        <w:right w:val="none" w:sz="0" w:space="0" w:color="auto"/>
      </w:divBdr>
    </w:div>
    <w:div w:id="1692413383">
      <w:bodyDiv w:val="1"/>
      <w:marLeft w:val="0"/>
      <w:marRight w:val="0"/>
      <w:marTop w:val="0"/>
      <w:marBottom w:val="0"/>
      <w:divBdr>
        <w:top w:val="none" w:sz="0" w:space="0" w:color="auto"/>
        <w:left w:val="none" w:sz="0" w:space="0" w:color="auto"/>
        <w:bottom w:val="none" w:sz="0" w:space="0" w:color="auto"/>
        <w:right w:val="none" w:sz="0" w:space="0" w:color="auto"/>
      </w:divBdr>
    </w:div>
    <w:div w:id="1711153463">
      <w:bodyDiv w:val="1"/>
      <w:marLeft w:val="0"/>
      <w:marRight w:val="0"/>
      <w:marTop w:val="0"/>
      <w:marBottom w:val="0"/>
      <w:divBdr>
        <w:top w:val="none" w:sz="0" w:space="0" w:color="auto"/>
        <w:left w:val="none" w:sz="0" w:space="0" w:color="auto"/>
        <w:bottom w:val="none" w:sz="0" w:space="0" w:color="auto"/>
        <w:right w:val="none" w:sz="0" w:space="0" w:color="auto"/>
      </w:divBdr>
    </w:div>
    <w:div w:id="1714232109">
      <w:bodyDiv w:val="1"/>
      <w:marLeft w:val="0"/>
      <w:marRight w:val="0"/>
      <w:marTop w:val="0"/>
      <w:marBottom w:val="0"/>
      <w:divBdr>
        <w:top w:val="none" w:sz="0" w:space="0" w:color="auto"/>
        <w:left w:val="none" w:sz="0" w:space="0" w:color="auto"/>
        <w:bottom w:val="none" w:sz="0" w:space="0" w:color="auto"/>
        <w:right w:val="none" w:sz="0" w:space="0" w:color="auto"/>
      </w:divBdr>
    </w:div>
    <w:div w:id="1718508374">
      <w:bodyDiv w:val="1"/>
      <w:marLeft w:val="0"/>
      <w:marRight w:val="0"/>
      <w:marTop w:val="0"/>
      <w:marBottom w:val="0"/>
      <w:divBdr>
        <w:top w:val="none" w:sz="0" w:space="0" w:color="auto"/>
        <w:left w:val="none" w:sz="0" w:space="0" w:color="auto"/>
        <w:bottom w:val="none" w:sz="0" w:space="0" w:color="auto"/>
        <w:right w:val="none" w:sz="0" w:space="0" w:color="auto"/>
      </w:divBdr>
    </w:div>
    <w:div w:id="1729500625">
      <w:bodyDiv w:val="1"/>
      <w:marLeft w:val="0"/>
      <w:marRight w:val="0"/>
      <w:marTop w:val="0"/>
      <w:marBottom w:val="0"/>
      <w:divBdr>
        <w:top w:val="none" w:sz="0" w:space="0" w:color="auto"/>
        <w:left w:val="none" w:sz="0" w:space="0" w:color="auto"/>
        <w:bottom w:val="none" w:sz="0" w:space="0" w:color="auto"/>
        <w:right w:val="none" w:sz="0" w:space="0" w:color="auto"/>
      </w:divBdr>
      <w:divsChild>
        <w:div w:id="1666930917">
          <w:marLeft w:val="446"/>
          <w:marRight w:val="0"/>
          <w:marTop w:val="100"/>
          <w:marBottom w:val="0"/>
          <w:divBdr>
            <w:top w:val="none" w:sz="0" w:space="0" w:color="auto"/>
            <w:left w:val="none" w:sz="0" w:space="0" w:color="auto"/>
            <w:bottom w:val="none" w:sz="0" w:space="0" w:color="auto"/>
            <w:right w:val="none" w:sz="0" w:space="0" w:color="auto"/>
          </w:divBdr>
        </w:div>
      </w:divsChild>
    </w:div>
    <w:div w:id="1735197133">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59521458">
      <w:bodyDiv w:val="1"/>
      <w:marLeft w:val="0"/>
      <w:marRight w:val="0"/>
      <w:marTop w:val="0"/>
      <w:marBottom w:val="0"/>
      <w:divBdr>
        <w:top w:val="none" w:sz="0" w:space="0" w:color="auto"/>
        <w:left w:val="none" w:sz="0" w:space="0" w:color="auto"/>
        <w:bottom w:val="none" w:sz="0" w:space="0" w:color="auto"/>
        <w:right w:val="none" w:sz="0" w:space="0" w:color="auto"/>
      </w:divBdr>
    </w:div>
    <w:div w:id="1764909239">
      <w:bodyDiv w:val="1"/>
      <w:marLeft w:val="0"/>
      <w:marRight w:val="0"/>
      <w:marTop w:val="0"/>
      <w:marBottom w:val="0"/>
      <w:divBdr>
        <w:top w:val="none" w:sz="0" w:space="0" w:color="auto"/>
        <w:left w:val="none" w:sz="0" w:space="0" w:color="auto"/>
        <w:bottom w:val="none" w:sz="0" w:space="0" w:color="auto"/>
        <w:right w:val="none" w:sz="0" w:space="0" w:color="auto"/>
      </w:divBdr>
    </w:div>
    <w:div w:id="1770928131">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2994242">
      <w:bodyDiv w:val="1"/>
      <w:marLeft w:val="0"/>
      <w:marRight w:val="0"/>
      <w:marTop w:val="0"/>
      <w:marBottom w:val="0"/>
      <w:divBdr>
        <w:top w:val="none" w:sz="0" w:space="0" w:color="auto"/>
        <w:left w:val="none" w:sz="0" w:space="0" w:color="auto"/>
        <w:bottom w:val="none" w:sz="0" w:space="0" w:color="auto"/>
        <w:right w:val="none" w:sz="0" w:space="0" w:color="auto"/>
      </w:divBdr>
    </w:div>
    <w:div w:id="1785684153">
      <w:bodyDiv w:val="1"/>
      <w:marLeft w:val="0"/>
      <w:marRight w:val="0"/>
      <w:marTop w:val="0"/>
      <w:marBottom w:val="0"/>
      <w:divBdr>
        <w:top w:val="none" w:sz="0" w:space="0" w:color="auto"/>
        <w:left w:val="none" w:sz="0" w:space="0" w:color="auto"/>
        <w:bottom w:val="none" w:sz="0" w:space="0" w:color="auto"/>
        <w:right w:val="none" w:sz="0" w:space="0" w:color="auto"/>
      </w:divBdr>
    </w:div>
    <w:div w:id="1791044521">
      <w:bodyDiv w:val="1"/>
      <w:marLeft w:val="0"/>
      <w:marRight w:val="0"/>
      <w:marTop w:val="0"/>
      <w:marBottom w:val="0"/>
      <w:divBdr>
        <w:top w:val="none" w:sz="0" w:space="0" w:color="auto"/>
        <w:left w:val="none" w:sz="0" w:space="0" w:color="auto"/>
        <w:bottom w:val="none" w:sz="0" w:space="0" w:color="auto"/>
        <w:right w:val="none" w:sz="0" w:space="0" w:color="auto"/>
      </w:divBdr>
    </w:div>
    <w:div w:id="1793358315">
      <w:bodyDiv w:val="1"/>
      <w:marLeft w:val="0"/>
      <w:marRight w:val="0"/>
      <w:marTop w:val="0"/>
      <w:marBottom w:val="0"/>
      <w:divBdr>
        <w:top w:val="none" w:sz="0" w:space="0" w:color="auto"/>
        <w:left w:val="none" w:sz="0" w:space="0" w:color="auto"/>
        <w:bottom w:val="none" w:sz="0" w:space="0" w:color="auto"/>
        <w:right w:val="none" w:sz="0" w:space="0" w:color="auto"/>
      </w:divBdr>
    </w:div>
    <w:div w:id="1794203843">
      <w:bodyDiv w:val="1"/>
      <w:marLeft w:val="0"/>
      <w:marRight w:val="0"/>
      <w:marTop w:val="0"/>
      <w:marBottom w:val="0"/>
      <w:divBdr>
        <w:top w:val="none" w:sz="0" w:space="0" w:color="auto"/>
        <w:left w:val="none" w:sz="0" w:space="0" w:color="auto"/>
        <w:bottom w:val="none" w:sz="0" w:space="0" w:color="auto"/>
        <w:right w:val="none" w:sz="0" w:space="0" w:color="auto"/>
      </w:divBdr>
    </w:div>
    <w:div w:id="1801536303">
      <w:bodyDiv w:val="1"/>
      <w:marLeft w:val="0"/>
      <w:marRight w:val="0"/>
      <w:marTop w:val="0"/>
      <w:marBottom w:val="0"/>
      <w:divBdr>
        <w:top w:val="none" w:sz="0" w:space="0" w:color="auto"/>
        <w:left w:val="none" w:sz="0" w:space="0" w:color="auto"/>
        <w:bottom w:val="none" w:sz="0" w:space="0" w:color="auto"/>
        <w:right w:val="none" w:sz="0" w:space="0" w:color="auto"/>
      </w:divBdr>
    </w:div>
    <w:div w:id="1812013860">
      <w:bodyDiv w:val="1"/>
      <w:marLeft w:val="0"/>
      <w:marRight w:val="0"/>
      <w:marTop w:val="0"/>
      <w:marBottom w:val="0"/>
      <w:divBdr>
        <w:top w:val="none" w:sz="0" w:space="0" w:color="auto"/>
        <w:left w:val="none" w:sz="0" w:space="0" w:color="auto"/>
        <w:bottom w:val="none" w:sz="0" w:space="0" w:color="auto"/>
        <w:right w:val="none" w:sz="0" w:space="0" w:color="auto"/>
      </w:divBdr>
    </w:div>
    <w:div w:id="1819614771">
      <w:bodyDiv w:val="1"/>
      <w:marLeft w:val="0"/>
      <w:marRight w:val="0"/>
      <w:marTop w:val="0"/>
      <w:marBottom w:val="0"/>
      <w:divBdr>
        <w:top w:val="none" w:sz="0" w:space="0" w:color="auto"/>
        <w:left w:val="none" w:sz="0" w:space="0" w:color="auto"/>
        <w:bottom w:val="none" w:sz="0" w:space="0" w:color="auto"/>
        <w:right w:val="none" w:sz="0" w:space="0" w:color="auto"/>
      </w:divBdr>
    </w:div>
    <w:div w:id="1820686917">
      <w:bodyDiv w:val="1"/>
      <w:marLeft w:val="0"/>
      <w:marRight w:val="0"/>
      <w:marTop w:val="0"/>
      <w:marBottom w:val="0"/>
      <w:divBdr>
        <w:top w:val="none" w:sz="0" w:space="0" w:color="auto"/>
        <w:left w:val="none" w:sz="0" w:space="0" w:color="auto"/>
        <w:bottom w:val="none" w:sz="0" w:space="0" w:color="auto"/>
        <w:right w:val="none" w:sz="0" w:space="0" w:color="auto"/>
      </w:divBdr>
    </w:div>
    <w:div w:id="1835219456">
      <w:bodyDiv w:val="1"/>
      <w:marLeft w:val="0"/>
      <w:marRight w:val="0"/>
      <w:marTop w:val="0"/>
      <w:marBottom w:val="0"/>
      <w:divBdr>
        <w:top w:val="none" w:sz="0" w:space="0" w:color="auto"/>
        <w:left w:val="none" w:sz="0" w:space="0" w:color="auto"/>
        <w:bottom w:val="none" w:sz="0" w:space="0" w:color="auto"/>
        <w:right w:val="none" w:sz="0" w:space="0" w:color="auto"/>
      </w:divBdr>
    </w:div>
    <w:div w:id="1836333703">
      <w:bodyDiv w:val="1"/>
      <w:marLeft w:val="0"/>
      <w:marRight w:val="0"/>
      <w:marTop w:val="0"/>
      <w:marBottom w:val="0"/>
      <w:divBdr>
        <w:top w:val="none" w:sz="0" w:space="0" w:color="auto"/>
        <w:left w:val="none" w:sz="0" w:space="0" w:color="auto"/>
        <w:bottom w:val="none" w:sz="0" w:space="0" w:color="auto"/>
        <w:right w:val="none" w:sz="0" w:space="0" w:color="auto"/>
      </w:divBdr>
    </w:div>
    <w:div w:id="1845125836">
      <w:bodyDiv w:val="1"/>
      <w:marLeft w:val="0"/>
      <w:marRight w:val="0"/>
      <w:marTop w:val="0"/>
      <w:marBottom w:val="0"/>
      <w:divBdr>
        <w:top w:val="none" w:sz="0" w:space="0" w:color="auto"/>
        <w:left w:val="none" w:sz="0" w:space="0" w:color="auto"/>
        <w:bottom w:val="none" w:sz="0" w:space="0" w:color="auto"/>
        <w:right w:val="none" w:sz="0" w:space="0" w:color="auto"/>
      </w:divBdr>
    </w:div>
    <w:div w:id="1846046672">
      <w:bodyDiv w:val="1"/>
      <w:marLeft w:val="0"/>
      <w:marRight w:val="0"/>
      <w:marTop w:val="0"/>
      <w:marBottom w:val="0"/>
      <w:divBdr>
        <w:top w:val="none" w:sz="0" w:space="0" w:color="auto"/>
        <w:left w:val="none" w:sz="0" w:space="0" w:color="auto"/>
        <w:bottom w:val="none" w:sz="0" w:space="0" w:color="auto"/>
        <w:right w:val="none" w:sz="0" w:space="0" w:color="auto"/>
      </w:divBdr>
    </w:div>
    <w:div w:id="1852450777">
      <w:bodyDiv w:val="1"/>
      <w:marLeft w:val="0"/>
      <w:marRight w:val="0"/>
      <w:marTop w:val="0"/>
      <w:marBottom w:val="0"/>
      <w:divBdr>
        <w:top w:val="none" w:sz="0" w:space="0" w:color="auto"/>
        <w:left w:val="none" w:sz="0" w:space="0" w:color="auto"/>
        <w:bottom w:val="none" w:sz="0" w:space="0" w:color="auto"/>
        <w:right w:val="none" w:sz="0" w:space="0" w:color="auto"/>
      </w:divBdr>
    </w:div>
    <w:div w:id="1853107257">
      <w:bodyDiv w:val="1"/>
      <w:marLeft w:val="0"/>
      <w:marRight w:val="0"/>
      <w:marTop w:val="0"/>
      <w:marBottom w:val="0"/>
      <w:divBdr>
        <w:top w:val="none" w:sz="0" w:space="0" w:color="auto"/>
        <w:left w:val="none" w:sz="0" w:space="0" w:color="auto"/>
        <w:bottom w:val="none" w:sz="0" w:space="0" w:color="auto"/>
        <w:right w:val="none" w:sz="0" w:space="0" w:color="auto"/>
      </w:divBdr>
    </w:div>
    <w:div w:id="1854415736">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3397834">
      <w:bodyDiv w:val="1"/>
      <w:marLeft w:val="0"/>
      <w:marRight w:val="0"/>
      <w:marTop w:val="0"/>
      <w:marBottom w:val="0"/>
      <w:divBdr>
        <w:top w:val="none" w:sz="0" w:space="0" w:color="auto"/>
        <w:left w:val="none" w:sz="0" w:space="0" w:color="auto"/>
        <w:bottom w:val="none" w:sz="0" w:space="0" w:color="auto"/>
        <w:right w:val="none" w:sz="0" w:space="0" w:color="auto"/>
      </w:divBdr>
    </w:div>
    <w:div w:id="1866090167">
      <w:bodyDiv w:val="1"/>
      <w:marLeft w:val="0"/>
      <w:marRight w:val="0"/>
      <w:marTop w:val="0"/>
      <w:marBottom w:val="0"/>
      <w:divBdr>
        <w:top w:val="none" w:sz="0" w:space="0" w:color="auto"/>
        <w:left w:val="none" w:sz="0" w:space="0" w:color="auto"/>
        <w:bottom w:val="none" w:sz="0" w:space="0" w:color="auto"/>
        <w:right w:val="none" w:sz="0" w:space="0" w:color="auto"/>
      </w:divBdr>
    </w:div>
    <w:div w:id="1878615842">
      <w:bodyDiv w:val="1"/>
      <w:marLeft w:val="0"/>
      <w:marRight w:val="0"/>
      <w:marTop w:val="0"/>
      <w:marBottom w:val="0"/>
      <w:divBdr>
        <w:top w:val="none" w:sz="0" w:space="0" w:color="auto"/>
        <w:left w:val="none" w:sz="0" w:space="0" w:color="auto"/>
        <w:bottom w:val="none" w:sz="0" w:space="0" w:color="auto"/>
        <w:right w:val="none" w:sz="0" w:space="0" w:color="auto"/>
      </w:divBdr>
    </w:div>
    <w:div w:id="1903758890">
      <w:bodyDiv w:val="1"/>
      <w:marLeft w:val="0"/>
      <w:marRight w:val="0"/>
      <w:marTop w:val="0"/>
      <w:marBottom w:val="0"/>
      <w:divBdr>
        <w:top w:val="none" w:sz="0" w:space="0" w:color="auto"/>
        <w:left w:val="none" w:sz="0" w:space="0" w:color="auto"/>
        <w:bottom w:val="none" w:sz="0" w:space="0" w:color="auto"/>
        <w:right w:val="none" w:sz="0" w:space="0" w:color="auto"/>
      </w:divBdr>
    </w:div>
    <w:div w:id="1905020207">
      <w:bodyDiv w:val="1"/>
      <w:marLeft w:val="0"/>
      <w:marRight w:val="0"/>
      <w:marTop w:val="0"/>
      <w:marBottom w:val="0"/>
      <w:divBdr>
        <w:top w:val="none" w:sz="0" w:space="0" w:color="auto"/>
        <w:left w:val="none" w:sz="0" w:space="0" w:color="auto"/>
        <w:bottom w:val="none" w:sz="0" w:space="0" w:color="auto"/>
        <w:right w:val="none" w:sz="0" w:space="0" w:color="auto"/>
      </w:divBdr>
    </w:div>
    <w:div w:id="1910847069">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17665151">
      <w:bodyDiv w:val="1"/>
      <w:marLeft w:val="0"/>
      <w:marRight w:val="0"/>
      <w:marTop w:val="0"/>
      <w:marBottom w:val="0"/>
      <w:divBdr>
        <w:top w:val="none" w:sz="0" w:space="0" w:color="auto"/>
        <w:left w:val="none" w:sz="0" w:space="0" w:color="auto"/>
        <w:bottom w:val="none" w:sz="0" w:space="0" w:color="auto"/>
        <w:right w:val="none" w:sz="0" w:space="0" w:color="auto"/>
      </w:divBdr>
    </w:div>
    <w:div w:id="1923297107">
      <w:bodyDiv w:val="1"/>
      <w:marLeft w:val="0"/>
      <w:marRight w:val="0"/>
      <w:marTop w:val="0"/>
      <w:marBottom w:val="0"/>
      <w:divBdr>
        <w:top w:val="none" w:sz="0" w:space="0" w:color="auto"/>
        <w:left w:val="none" w:sz="0" w:space="0" w:color="auto"/>
        <w:bottom w:val="none" w:sz="0" w:space="0" w:color="auto"/>
        <w:right w:val="none" w:sz="0" w:space="0" w:color="auto"/>
      </w:divBdr>
    </w:div>
    <w:div w:id="1924215395">
      <w:bodyDiv w:val="1"/>
      <w:marLeft w:val="0"/>
      <w:marRight w:val="0"/>
      <w:marTop w:val="0"/>
      <w:marBottom w:val="0"/>
      <w:divBdr>
        <w:top w:val="none" w:sz="0" w:space="0" w:color="auto"/>
        <w:left w:val="none" w:sz="0" w:space="0" w:color="auto"/>
        <w:bottom w:val="none" w:sz="0" w:space="0" w:color="auto"/>
        <w:right w:val="none" w:sz="0" w:space="0" w:color="auto"/>
      </w:divBdr>
    </w:div>
    <w:div w:id="1926184365">
      <w:bodyDiv w:val="1"/>
      <w:marLeft w:val="0"/>
      <w:marRight w:val="0"/>
      <w:marTop w:val="0"/>
      <w:marBottom w:val="0"/>
      <w:divBdr>
        <w:top w:val="none" w:sz="0" w:space="0" w:color="auto"/>
        <w:left w:val="none" w:sz="0" w:space="0" w:color="auto"/>
        <w:bottom w:val="none" w:sz="0" w:space="0" w:color="auto"/>
        <w:right w:val="none" w:sz="0" w:space="0" w:color="auto"/>
      </w:divBdr>
    </w:div>
    <w:div w:id="1927689181">
      <w:bodyDiv w:val="1"/>
      <w:marLeft w:val="0"/>
      <w:marRight w:val="0"/>
      <w:marTop w:val="0"/>
      <w:marBottom w:val="0"/>
      <w:divBdr>
        <w:top w:val="none" w:sz="0" w:space="0" w:color="auto"/>
        <w:left w:val="none" w:sz="0" w:space="0" w:color="auto"/>
        <w:bottom w:val="none" w:sz="0" w:space="0" w:color="auto"/>
        <w:right w:val="none" w:sz="0" w:space="0" w:color="auto"/>
      </w:divBdr>
    </w:div>
    <w:div w:id="1934052358">
      <w:bodyDiv w:val="1"/>
      <w:marLeft w:val="0"/>
      <w:marRight w:val="0"/>
      <w:marTop w:val="0"/>
      <w:marBottom w:val="0"/>
      <w:divBdr>
        <w:top w:val="none" w:sz="0" w:space="0" w:color="auto"/>
        <w:left w:val="none" w:sz="0" w:space="0" w:color="auto"/>
        <w:bottom w:val="none" w:sz="0" w:space="0" w:color="auto"/>
        <w:right w:val="none" w:sz="0" w:space="0" w:color="auto"/>
      </w:divBdr>
    </w:div>
    <w:div w:id="1945843431">
      <w:bodyDiv w:val="1"/>
      <w:marLeft w:val="0"/>
      <w:marRight w:val="0"/>
      <w:marTop w:val="0"/>
      <w:marBottom w:val="0"/>
      <w:divBdr>
        <w:top w:val="none" w:sz="0" w:space="0" w:color="auto"/>
        <w:left w:val="none" w:sz="0" w:space="0" w:color="auto"/>
        <w:bottom w:val="none" w:sz="0" w:space="0" w:color="auto"/>
        <w:right w:val="none" w:sz="0" w:space="0" w:color="auto"/>
      </w:divBdr>
    </w:div>
    <w:div w:id="1956670324">
      <w:bodyDiv w:val="1"/>
      <w:marLeft w:val="0"/>
      <w:marRight w:val="0"/>
      <w:marTop w:val="0"/>
      <w:marBottom w:val="0"/>
      <w:divBdr>
        <w:top w:val="none" w:sz="0" w:space="0" w:color="auto"/>
        <w:left w:val="none" w:sz="0" w:space="0" w:color="auto"/>
        <w:bottom w:val="none" w:sz="0" w:space="0" w:color="auto"/>
        <w:right w:val="none" w:sz="0" w:space="0" w:color="auto"/>
      </w:divBdr>
    </w:div>
    <w:div w:id="197062322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9824779">
      <w:bodyDiv w:val="1"/>
      <w:marLeft w:val="0"/>
      <w:marRight w:val="0"/>
      <w:marTop w:val="0"/>
      <w:marBottom w:val="0"/>
      <w:divBdr>
        <w:top w:val="none" w:sz="0" w:space="0" w:color="auto"/>
        <w:left w:val="none" w:sz="0" w:space="0" w:color="auto"/>
        <w:bottom w:val="none" w:sz="0" w:space="0" w:color="auto"/>
        <w:right w:val="none" w:sz="0" w:space="0" w:color="auto"/>
      </w:divBdr>
    </w:div>
    <w:div w:id="2003771251">
      <w:bodyDiv w:val="1"/>
      <w:marLeft w:val="0"/>
      <w:marRight w:val="0"/>
      <w:marTop w:val="0"/>
      <w:marBottom w:val="0"/>
      <w:divBdr>
        <w:top w:val="none" w:sz="0" w:space="0" w:color="auto"/>
        <w:left w:val="none" w:sz="0" w:space="0" w:color="auto"/>
        <w:bottom w:val="none" w:sz="0" w:space="0" w:color="auto"/>
        <w:right w:val="none" w:sz="0" w:space="0" w:color="auto"/>
      </w:divBdr>
    </w:div>
    <w:div w:id="2009477356">
      <w:bodyDiv w:val="1"/>
      <w:marLeft w:val="0"/>
      <w:marRight w:val="0"/>
      <w:marTop w:val="0"/>
      <w:marBottom w:val="0"/>
      <w:divBdr>
        <w:top w:val="none" w:sz="0" w:space="0" w:color="auto"/>
        <w:left w:val="none" w:sz="0" w:space="0" w:color="auto"/>
        <w:bottom w:val="none" w:sz="0" w:space="0" w:color="auto"/>
        <w:right w:val="none" w:sz="0" w:space="0" w:color="auto"/>
      </w:divBdr>
    </w:div>
    <w:div w:id="2010669269">
      <w:bodyDiv w:val="1"/>
      <w:marLeft w:val="0"/>
      <w:marRight w:val="0"/>
      <w:marTop w:val="0"/>
      <w:marBottom w:val="0"/>
      <w:divBdr>
        <w:top w:val="none" w:sz="0" w:space="0" w:color="auto"/>
        <w:left w:val="none" w:sz="0" w:space="0" w:color="auto"/>
        <w:bottom w:val="none" w:sz="0" w:space="0" w:color="auto"/>
        <w:right w:val="none" w:sz="0" w:space="0" w:color="auto"/>
      </w:divBdr>
    </w:div>
    <w:div w:id="2012179791">
      <w:bodyDiv w:val="1"/>
      <w:marLeft w:val="0"/>
      <w:marRight w:val="0"/>
      <w:marTop w:val="0"/>
      <w:marBottom w:val="0"/>
      <w:divBdr>
        <w:top w:val="none" w:sz="0" w:space="0" w:color="auto"/>
        <w:left w:val="none" w:sz="0" w:space="0" w:color="auto"/>
        <w:bottom w:val="none" w:sz="0" w:space="0" w:color="auto"/>
        <w:right w:val="none" w:sz="0" w:space="0" w:color="auto"/>
      </w:divBdr>
    </w:div>
    <w:div w:id="2022462214">
      <w:bodyDiv w:val="1"/>
      <w:marLeft w:val="0"/>
      <w:marRight w:val="0"/>
      <w:marTop w:val="0"/>
      <w:marBottom w:val="0"/>
      <w:divBdr>
        <w:top w:val="none" w:sz="0" w:space="0" w:color="auto"/>
        <w:left w:val="none" w:sz="0" w:space="0" w:color="auto"/>
        <w:bottom w:val="none" w:sz="0" w:space="0" w:color="auto"/>
        <w:right w:val="none" w:sz="0" w:space="0" w:color="auto"/>
      </w:divBdr>
    </w:div>
    <w:div w:id="2027637775">
      <w:bodyDiv w:val="1"/>
      <w:marLeft w:val="0"/>
      <w:marRight w:val="0"/>
      <w:marTop w:val="0"/>
      <w:marBottom w:val="0"/>
      <w:divBdr>
        <w:top w:val="none" w:sz="0" w:space="0" w:color="auto"/>
        <w:left w:val="none" w:sz="0" w:space="0" w:color="auto"/>
        <w:bottom w:val="none" w:sz="0" w:space="0" w:color="auto"/>
        <w:right w:val="none" w:sz="0" w:space="0" w:color="auto"/>
      </w:divBdr>
    </w:div>
    <w:div w:id="2028824004">
      <w:bodyDiv w:val="1"/>
      <w:marLeft w:val="0"/>
      <w:marRight w:val="0"/>
      <w:marTop w:val="0"/>
      <w:marBottom w:val="0"/>
      <w:divBdr>
        <w:top w:val="none" w:sz="0" w:space="0" w:color="auto"/>
        <w:left w:val="none" w:sz="0" w:space="0" w:color="auto"/>
        <w:bottom w:val="none" w:sz="0" w:space="0" w:color="auto"/>
        <w:right w:val="none" w:sz="0" w:space="0" w:color="auto"/>
      </w:divBdr>
    </w:div>
    <w:div w:id="2030133498">
      <w:bodyDiv w:val="1"/>
      <w:marLeft w:val="0"/>
      <w:marRight w:val="0"/>
      <w:marTop w:val="0"/>
      <w:marBottom w:val="0"/>
      <w:divBdr>
        <w:top w:val="none" w:sz="0" w:space="0" w:color="auto"/>
        <w:left w:val="none" w:sz="0" w:space="0" w:color="auto"/>
        <w:bottom w:val="none" w:sz="0" w:space="0" w:color="auto"/>
        <w:right w:val="none" w:sz="0" w:space="0" w:color="auto"/>
      </w:divBdr>
    </w:div>
    <w:div w:id="2030326456">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3142282">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64793613">
      <w:bodyDiv w:val="1"/>
      <w:marLeft w:val="0"/>
      <w:marRight w:val="0"/>
      <w:marTop w:val="0"/>
      <w:marBottom w:val="0"/>
      <w:divBdr>
        <w:top w:val="none" w:sz="0" w:space="0" w:color="auto"/>
        <w:left w:val="none" w:sz="0" w:space="0" w:color="auto"/>
        <w:bottom w:val="none" w:sz="0" w:space="0" w:color="auto"/>
        <w:right w:val="none" w:sz="0" w:space="0" w:color="auto"/>
      </w:divBdr>
    </w:div>
    <w:div w:id="2065061324">
      <w:bodyDiv w:val="1"/>
      <w:marLeft w:val="0"/>
      <w:marRight w:val="0"/>
      <w:marTop w:val="0"/>
      <w:marBottom w:val="0"/>
      <w:divBdr>
        <w:top w:val="none" w:sz="0" w:space="0" w:color="auto"/>
        <w:left w:val="none" w:sz="0" w:space="0" w:color="auto"/>
        <w:bottom w:val="none" w:sz="0" w:space="0" w:color="auto"/>
        <w:right w:val="none" w:sz="0" w:space="0" w:color="auto"/>
      </w:divBdr>
    </w:div>
    <w:div w:id="2071147352">
      <w:bodyDiv w:val="1"/>
      <w:marLeft w:val="0"/>
      <w:marRight w:val="0"/>
      <w:marTop w:val="0"/>
      <w:marBottom w:val="0"/>
      <w:divBdr>
        <w:top w:val="none" w:sz="0" w:space="0" w:color="auto"/>
        <w:left w:val="none" w:sz="0" w:space="0" w:color="auto"/>
        <w:bottom w:val="none" w:sz="0" w:space="0" w:color="auto"/>
        <w:right w:val="none" w:sz="0" w:space="0" w:color="auto"/>
      </w:divBdr>
    </w:div>
    <w:div w:id="2081173359">
      <w:bodyDiv w:val="1"/>
      <w:marLeft w:val="0"/>
      <w:marRight w:val="0"/>
      <w:marTop w:val="0"/>
      <w:marBottom w:val="0"/>
      <w:divBdr>
        <w:top w:val="none" w:sz="0" w:space="0" w:color="auto"/>
        <w:left w:val="none" w:sz="0" w:space="0" w:color="auto"/>
        <w:bottom w:val="none" w:sz="0" w:space="0" w:color="auto"/>
        <w:right w:val="none" w:sz="0" w:space="0" w:color="auto"/>
      </w:divBdr>
    </w:div>
    <w:div w:id="2095859117">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03210808">
      <w:bodyDiv w:val="1"/>
      <w:marLeft w:val="0"/>
      <w:marRight w:val="0"/>
      <w:marTop w:val="0"/>
      <w:marBottom w:val="0"/>
      <w:divBdr>
        <w:top w:val="none" w:sz="0" w:space="0" w:color="auto"/>
        <w:left w:val="none" w:sz="0" w:space="0" w:color="auto"/>
        <w:bottom w:val="none" w:sz="0" w:space="0" w:color="auto"/>
        <w:right w:val="none" w:sz="0" w:space="0" w:color="auto"/>
      </w:divBdr>
    </w:div>
    <w:div w:id="2116974483">
      <w:bodyDiv w:val="1"/>
      <w:marLeft w:val="0"/>
      <w:marRight w:val="0"/>
      <w:marTop w:val="0"/>
      <w:marBottom w:val="0"/>
      <w:divBdr>
        <w:top w:val="none" w:sz="0" w:space="0" w:color="auto"/>
        <w:left w:val="none" w:sz="0" w:space="0" w:color="auto"/>
        <w:bottom w:val="none" w:sz="0" w:space="0" w:color="auto"/>
        <w:right w:val="none" w:sz="0" w:space="0" w:color="auto"/>
      </w:divBdr>
    </w:div>
    <w:div w:id="2133861177">
      <w:bodyDiv w:val="1"/>
      <w:marLeft w:val="0"/>
      <w:marRight w:val="0"/>
      <w:marTop w:val="0"/>
      <w:marBottom w:val="0"/>
      <w:divBdr>
        <w:top w:val="none" w:sz="0" w:space="0" w:color="auto"/>
        <w:left w:val="none" w:sz="0" w:space="0" w:color="auto"/>
        <w:bottom w:val="none" w:sz="0" w:space="0" w:color="auto"/>
        <w:right w:val="none" w:sz="0" w:space="0" w:color="auto"/>
      </w:divBdr>
    </w:div>
    <w:div w:id="214029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1591</TotalTime>
  <Pages>9</Pages>
  <Words>3662</Words>
  <Characters>20876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MediaTek (Felix)</cp:lastModifiedBy>
  <cp:revision>4</cp:revision>
  <cp:lastPrinted>2025-11-07T01:55:00Z</cp:lastPrinted>
  <dcterms:created xsi:type="dcterms:W3CDTF">2025-11-04T06:03:00Z</dcterms:created>
  <dcterms:modified xsi:type="dcterms:W3CDTF">2026-01-30T06:18:00Z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y fmtid="{D5CDD505-2E9C-101B-9397-08002B2CF9AE}" pid="9" name="GrammarlyDocumentId">
    <vt:lpwstr>29cb95db4c86ba613befad5d1d4a0b8c6788c2aeb6dfb48ed2f3ff4b2f2a4c38</vt:lpwstr>
  </property>
</Properties>
</file>